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 Event Management Test Cases</w:t>
      </w:r>
    </w:p>
    <w:p>
      <w:pPr>
        <w:spacing w:after="160"/>
      </w:pPr>
      <w:r>
        <w:rPr>
          <w:b/>
        </w:rPr>
        <w:t xml:space="preserve">Purpose. </w:t>
      </w:r>
      <w:r>
        <w:t>Use this checklist to verify the current CampusFlow student-facing demo, including event discovery, registrations, profile editing, and navigation.</w:t>
      </w:r>
    </w:p>
    <w:tbl>
      <w:tblPr>
        <w:tblW w:type="auto" w:w="0"/>
        <w:jc w:val="left"/>
        <w:tblLayout w:type="fixed"/>
        <w:tblLook w:firstColumn="1" w:firstRow="1" w:lastColumn="0" w:lastRow="0" w:noHBand="0" w:noVBand="1" w:val="04A0"/>
      </w:tblPr>
      <w:tblGrid>
        <w:gridCol w:w="3564"/>
        <w:gridCol w:w="3564"/>
        <w:gridCol w:w="3564"/>
        <w:gridCol w:w="3564"/>
      </w:tblGrid>
      <w:tr>
        <w:tc>
          <w:tcPr>
            <w:tcW w:type="dxa" w:w="1656"/>
            <w:vAlign w:val="center"/>
          </w:tcPr>
          <w:p>
            <w:pPr>
              <w:spacing w:after="40" w:before="40"/>
            </w:pPr>
            <w:r>
              <w:rPr>
                <w:b/>
                <w:color w:val="183656"/>
                <w:sz w:val="16"/>
              </w:rPr>
              <w:t>Test date</w:t>
            </w:r>
          </w:p>
        </w:tc>
        <w:tc>
          <w:tcPr>
            <w:tcW w:type="dxa" w:w="4320"/>
            <w:vAlign w:val="center"/>
          </w:tcPr>
          <w:p>
            <w:pPr>
              <w:spacing w:after="40" w:before="40"/>
            </w:pPr>
            <w:r>
              <w:rPr>
                <w:sz w:val="16"/>
              </w:rPr>
              <w:t>22 October 2026</w:t>
            </w:r>
          </w:p>
        </w:tc>
        <w:tc>
          <w:tcPr>
            <w:tcW w:type="dxa" w:w="1584"/>
            <w:vAlign w:val="center"/>
          </w:tcPr>
          <w:p>
            <w:pPr>
              <w:spacing w:after="40" w:before="40"/>
            </w:pPr>
            <w:r>
              <w:rPr>
                <w:b/>
                <w:color w:val="183656"/>
                <w:sz w:val="16"/>
              </w:rPr>
              <w:t>Application</w:t>
            </w:r>
          </w:p>
        </w:tc>
        <w:tc>
          <w:tcPr>
            <w:tcW w:type="dxa" w:w="7200"/>
            <w:vAlign w:val="center"/>
          </w:tcPr>
          <w:p>
            <w:pPr>
              <w:spacing w:after="40" w:before="40"/>
            </w:pPr>
            <w:r>
              <w:rPr>
                <w:sz w:val="16"/>
              </w:rPr>
              <w:t>CampusFlow static front-end demo</w:t>
            </w:r>
          </w:p>
        </w:tc>
      </w:tr>
      <w:tr>
        <w:tc>
          <w:tcPr>
            <w:tcW w:type="dxa" w:w="1656"/>
            <w:vAlign w:val="center"/>
          </w:tcPr>
          <w:p>
            <w:pPr>
              <w:spacing w:after="40" w:before="40"/>
            </w:pPr>
            <w:r>
              <w:rPr>
                <w:b/>
                <w:color w:val="183656"/>
                <w:sz w:val="16"/>
              </w:rPr>
              <w:t>Coverage</w:t>
            </w:r>
          </w:p>
        </w:tc>
        <w:tc>
          <w:tcPr>
            <w:tcW w:type="dxa" w:w="4320"/>
            <w:vAlign w:val="center"/>
          </w:tcPr>
          <w:p>
            <w:pPr>
              <w:spacing w:after="40" w:before="40"/>
            </w:pPr>
            <w:r>
              <w:rPr>
                <w:sz w:val="16"/>
              </w:rPr>
              <w:t>Dashboard, events, event details, registrations, profile, mobile navigation</w:t>
            </w:r>
          </w:p>
        </w:tc>
        <w:tc>
          <w:tcPr>
            <w:tcW w:type="dxa" w:w="1584"/>
            <w:vAlign w:val="center"/>
          </w:tcPr>
          <w:p>
            <w:pPr>
              <w:spacing w:after="40" w:before="40"/>
            </w:pPr>
            <w:r>
              <w:rPr>
                <w:b/>
                <w:color w:val="183656"/>
                <w:sz w:val="16"/>
              </w:rPr>
              <w:t>Test basis</w:t>
            </w:r>
          </w:p>
        </w:tc>
        <w:tc>
          <w:tcPr>
            <w:tcW w:type="dxa" w:w="7200"/>
            <w:vAlign w:val="center"/>
          </w:tcPr>
          <w:p>
            <w:pPr>
              <w:spacing w:after="40" w:before="40"/>
            </w:pPr>
            <w:r>
              <w:rPr>
                <w:sz w:val="16"/>
              </w:rPr>
              <w:t>Static checks completed; browser interaction cases listed for execution</w:t>
            </w:r>
          </w:p>
        </w:tc>
      </w:tr>
    </w:tbl>
    <w:p>
      <w:pPr>
        <w:spacing w:before="140" w:after="120"/>
      </w:pPr>
      <w:r>
        <w:rPr>
          <w:b/>
        </w:rPr>
        <w:t xml:space="preserve">Execution note. </w:t>
      </w:r>
      <w:r>
        <w:t>JavaScript syntax and local page asset references passed static checks. Browser interaction testing was not run because this session blocks opening local file URLs. Cases marked Not run need execution in a browser by the project team. The app uses sample data stored in the current browser; it has no connected backend.</w:t>
      </w:r>
    </w:p>
    <w:tbl>
      <w:tblPr>
        <w:tblStyle w:val="TableGrid"/>
        <w:tblW w:type="auto" w:w="0"/>
        <w:jc w:val="center"/>
        <w:tblLayout w:type="fixed"/>
        <w:tblLook w:firstColumn="1" w:firstRow="1" w:lastColumn="0" w:lastRow="0" w:noHBand="0" w:noVBand="1" w:val="04A0"/>
      </w:tblPr>
      <w:tblGrid>
        <w:gridCol w:w="2376"/>
        <w:gridCol w:w="2376"/>
        <w:gridCol w:w="2376"/>
        <w:gridCol w:w="2376"/>
        <w:gridCol w:w="2376"/>
        <w:gridCol w:w="2376"/>
      </w:tblGrid>
      <w:tr>
        <w:trPr>
          <w:tblHeader w:val="true"/>
        </w:trPr>
        <w:tc>
          <w:tcPr>
            <w:tcW w:type="dxa" w:w="893"/>
            <w:vAlign w:val="center"/>
            <w:shd w:fill="183656"/>
          </w:tcPr>
          <w:p>
            <w:pPr>
              <w:spacing w:after="0"/>
            </w:pPr>
            <w:r>
              <w:rPr>
                <w:b/>
                <w:color w:val="FFFFFF"/>
                <w:sz w:val="16"/>
              </w:rPr>
              <w:t>Test ID</w:t>
            </w:r>
          </w:p>
        </w:tc>
        <w:tc>
          <w:tcPr>
            <w:tcW w:type="dxa" w:w="1800"/>
            <w:vAlign w:val="center"/>
            <w:shd w:fill="183656"/>
          </w:tcPr>
          <w:p>
            <w:pPr>
              <w:spacing w:after="0"/>
            </w:pPr>
            <w:r>
              <w:rPr>
                <w:b/>
                <w:color w:val="FFFFFF"/>
                <w:sz w:val="16"/>
              </w:rPr>
              <w:t>Test case</w:t>
            </w:r>
          </w:p>
        </w:tc>
        <w:tc>
          <w:tcPr>
            <w:tcW w:type="dxa" w:w="3672"/>
            <w:vAlign w:val="center"/>
            <w:shd w:fill="183656"/>
          </w:tcPr>
          <w:p>
            <w:pPr>
              <w:spacing w:after="0"/>
            </w:pPr>
            <w:r>
              <w:rPr>
                <w:b/>
                <w:color w:val="FFFFFF"/>
                <w:sz w:val="16"/>
              </w:rPr>
              <w:t>Steps and test data</w:t>
            </w:r>
          </w:p>
        </w:tc>
        <w:tc>
          <w:tcPr>
            <w:tcW w:type="dxa" w:w="3672"/>
            <w:vAlign w:val="center"/>
            <w:shd w:fill="183656"/>
          </w:tcPr>
          <w:p>
            <w:pPr>
              <w:spacing w:after="0"/>
            </w:pPr>
            <w:r>
              <w:rPr>
                <w:b/>
                <w:color w:val="FFFFFF"/>
                <w:sz w:val="16"/>
              </w:rPr>
              <w:t>Expected result</w:t>
            </w:r>
          </w:p>
        </w:tc>
        <w:tc>
          <w:tcPr>
            <w:tcW w:type="dxa" w:w="3773"/>
            <w:vAlign w:val="center"/>
            <w:shd w:fill="183656"/>
          </w:tcPr>
          <w:p>
            <w:pPr>
              <w:spacing w:after="0"/>
            </w:pPr>
            <w:r>
              <w:rPr>
                <w:b/>
                <w:color w:val="FFFFFF"/>
                <w:sz w:val="16"/>
              </w:rPr>
              <w:t>Actual result</w:t>
            </w:r>
          </w:p>
        </w:tc>
        <w:tc>
          <w:tcPr>
            <w:tcW w:type="dxa" w:w="1037"/>
            <w:vAlign w:val="center"/>
            <w:shd w:fill="183656"/>
          </w:tcPr>
          <w:p>
            <w:pPr>
              <w:spacing w:after="0"/>
            </w:pPr>
            <w:r>
              <w:rPr>
                <w:b/>
                <w:color w:val="FFFFFF"/>
                <w:sz w:val="16"/>
              </w:rPr>
              <w:t>Status</w:t>
            </w:r>
          </w:p>
        </w:tc>
      </w:tr>
      <w:tr>
        <w:trPr>
          <w:cantSplit/>
        </w:trPr>
        <w:tc>
          <w:tcPr>
            <w:tcW w:type="dxa" w:w="893"/>
            <w:vAlign w:val="top"/>
          </w:tcPr>
          <w:p>
            <w:pPr>
              <w:spacing w:after="20" w:before="20"/>
            </w:pPr>
            <w:r>
              <w:rPr>
                <w:b/>
                <w:color w:val="183656"/>
                <w:sz w:val="15"/>
              </w:rPr>
              <w:t>TC-01</w:t>
            </w:r>
          </w:p>
        </w:tc>
        <w:tc>
          <w:tcPr>
            <w:tcW w:type="dxa" w:w="1800"/>
            <w:vAlign w:val="top"/>
          </w:tcPr>
          <w:p>
            <w:pPr>
              <w:spacing w:after="20" w:before="20"/>
            </w:pPr>
            <w:r>
              <w:rPr>
                <w:sz w:val="15"/>
              </w:rPr>
              <w:t>JavaScript syntax</w:t>
            </w:r>
          </w:p>
        </w:tc>
        <w:tc>
          <w:tcPr>
            <w:tcW w:type="dxa" w:w="3672"/>
            <w:vAlign w:val="top"/>
          </w:tcPr>
          <w:p>
            <w:pPr>
              <w:spacing w:after="20" w:before="20"/>
            </w:pPr>
            <w:r>
              <w:rPr>
                <w:sz w:val="15"/>
              </w:rPr>
              <w:t>Run Node syntax checks for every file in frontend/js.</w:t>
            </w:r>
          </w:p>
        </w:tc>
        <w:tc>
          <w:tcPr>
            <w:tcW w:type="dxa" w:w="3672"/>
            <w:vAlign w:val="top"/>
          </w:tcPr>
          <w:p>
            <w:pPr>
              <w:spacing w:after="20" w:before="20"/>
            </w:pPr>
            <w:r>
              <w:rPr>
                <w:sz w:val="15"/>
              </w:rPr>
              <w:t>All seven JavaScript files parse without syntax errors.</w:t>
            </w:r>
          </w:p>
        </w:tc>
        <w:tc>
          <w:tcPr>
            <w:tcW w:type="dxa" w:w="3773"/>
            <w:vAlign w:val="top"/>
          </w:tcPr>
          <w:p>
            <w:pPr>
              <w:spacing w:after="20" w:before="20"/>
            </w:pPr>
            <w:r>
              <w:rPr>
                <w:sz w:val="15"/>
              </w:rPr>
              <w:t>Passed. All seven syntax checks passed.</w:t>
            </w:r>
          </w:p>
        </w:tc>
        <w:tc>
          <w:tcPr>
            <w:tcW w:type="dxa" w:w="1037"/>
            <w:vAlign w:val="top"/>
            <w:shd w:fill="DDEFE4"/>
          </w:tcPr>
          <w:p>
            <w:pPr>
              <w:spacing w:after="20" w:before="20"/>
            </w:pPr>
            <w:r>
              <w:rPr>
                <w:b/>
                <w:sz w:val="14"/>
              </w:rPr>
              <w:t>PASS</w:t>
            </w:r>
          </w:p>
        </w:tc>
      </w:tr>
      <w:tr>
        <w:trPr>
          <w:cantSplit/>
        </w:trPr>
        <w:tc>
          <w:tcPr>
            <w:tcW w:type="dxa" w:w="893"/>
            <w:vAlign w:val="top"/>
          </w:tcPr>
          <w:p>
            <w:pPr>
              <w:spacing w:after="20" w:before="20"/>
            </w:pPr>
            <w:r>
              <w:rPr>
                <w:b/>
                <w:color w:val="183656"/>
                <w:sz w:val="15"/>
              </w:rPr>
              <w:t>TC-02</w:t>
            </w:r>
          </w:p>
        </w:tc>
        <w:tc>
          <w:tcPr>
            <w:tcW w:type="dxa" w:w="1800"/>
            <w:vAlign w:val="top"/>
          </w:tcPr>
          <w:p>
            <w:pPr>
              <w:spacing w:after="20" w:before="20"/>
            </w:pPr>
            <w:r>
              <w:rPr>
                <w:sz w:val="15"/>
              </w:rPr>
              <w:t>Local page assets</w:t>
            </w:r>
          </w:p>
        </w:tc>
        <w:tc>
          <w:tcPr>
            <w:tcW w:type="dxa" w:w="3672"/>
            <w:vAlign w:val="top"/>
          </w:tcPr>
          <w:p>
            <w:pPr>
              <w:spacing w:after="20" w:before="20"/>
            </w:pPr>
            <w:r>
              <w:rPr>
                <w:sz w:val="15"/>
              </w:rPr>
              <w:t>Check local script and stylesheet references on all HTML pages.</w:t>
            </w:r>
          </w:p>
        </w:tc>
        <w:tc>
          <w:tcPr>
            <w:tcW w:type="dxa" w:w="3672"/>
            <w:vAlign w:val="top"/>
          </w:tcPr>
          <w:p>
            <w:pPr>
              <w:spacing w:after="20" w:before="20"/>
            </w:pPr>
            <w:r>
              <w:rPr>
                <w:sz w:val="15"/>
              </w:rPr>
              <w:t>Every referenced local script and stylesheet exists.</w:t>
            </w:r>
          </w:p>
        </w:tc>
        <w:tc>
          <w:tcPr>
            <w:tcW w:type="dxa" w:w="3773"/>
            <w:vAlign w:val="top"/>
          </w:tcPr>
          <w:p>
            <w:pPr>
              <w:spacing w:after="20" w:before="20"/>
            </w:pPr>
            <w:r>
              <w:rPr>
                <w:sz w:val="15"/>
              </w:rPr>
              <w:t>Passed. References resolved on all five HTML pages.</w:t>
            </w:r>
          </w:p>
        </w:tc>
        <w:tc>
          <w:tcPr>
            <w:tcW w:type="dxa" w:w="1037"/>
            <w:vAlign w:val="top"/>
            <w:shd w:fill="DDEFE4"/>
          </w:tcPr>
          <w:p>
            <w:pPr>
              <w:spacing w:after="20" w:before="20"/>
            </w:pPr>
            <w:r>
              <w:rPr>
                <w:b/>
                <w:sz w:val="14"/>
              </w:rPr>
              <w:t>PASS</w:t>
            </w:r>
          </w:p>
        </w:tc>
      </w:tr>
      <w:tr>
        <w:trPr>
          <w:cantSplit/>
        </w:trPr>
        <w:tc>
          <w:tcPr>
            <w:tcW w:type="dxa" w:w="893"/>
            <w:vAlign w:val="top"/>
          </w:tcPr>
          <w:p>
            <w:pPr>
              <w:spacing w:after="20" w:before="20"/>
            </w:pPr>
            <w:r>
              <w:rPr>
                <w:b/>
                <w:color w:val="183656"/>
                <w:sz w:val="15"/>
              </w:rPr>
              <w:t>TC-03</w:t>
            </w:r>
          </w:p>
        </w:tc>
        <w:tc>
          <w:tcPr>
            <w:tcW w:type="dxa" w:w="1800"/>
            <w:vAlign w:val="top"/>
          </w:tcPr>
          <w:p>
            <w:pPr>
              <w:spacing w:after="20" w:before="20"/>
            </w:pPr>
            <w:r>
              <w:rPr>
                <w:sz w:val="15"/>
              </w:rPr>
              <w:t>Dashboard overview</w:t>
            </w:r>
          </w:p>
        </w:tc>
        <w:tc>
          <w:tcPr>
            <w:tcW w:type="dxa" w:w="3672"/>
            <w:vAlign w:val="top"/>
          </w:tcPr>
          <w:p>
            <w:pPr>
              <w:spacing w:after="20" w:before="20"/>
            </w:pPr>
            <w:r>
              <w:rPr>
                <w:sz w:val="15"/>
              </w:rPr>
              <w:t>Open dashboard with the default sample data; compare the four summary cards with upcoming, past, and registered events.</w:t>
            </w:r>
          </w:p>
        </w:tc>
        <w:tc>
          <w:tcPr>
            <w:tcW w:type="dxa" w:w="3672"/>
            <w:vAlign w:val="top"/>
          </w:tcPr>
          <w:p>
            <w:pPr>
              <w:spacing w:after="20" w:before="20"/>
            </w:pPr>
            <w:r>
              <w:rPr>
                <w:sz w:val="15"/>
              </w:rPr>
              <w:t>Summary counts and the upcoming event list match the sample data and exclude past events.</w:t>
            </w:r>
          </w:p>
        </w:tc>
        <w:tc>
          <w:tcPr>
            <w:tcW w:type="dxa" w:w="3773"/>
            <w:vAlign w:val="top"/>
          </w:tcPr>
          <w:p>
            <w:pPr>
              <w:spacing w:after="20" w:before="20"/>
            </w:pPr>
            <w:r>
              <w:rPr>
                <w:sz w:val="15"/>
              </w:rPr>
              <w:t>Not executed; browser interaction testing unavailable in this session.</w:t>
            </w:r>
          </w:p>
        </w:tc>
        <w:tc>
          <w:tcPr>
            <w:tcW w:type="dxa" w:w="1037"/>
            <w:vAlign w:val="top"/>
            <w:shd w:fill="FFF0D5"/>
          </w:tcPr>
          <w:p>
            <w:pPr>
              <w:spacing w:after="20" w:before="20"/>
            </w:pPr>
            <w:r>
              <w:rPr>
                <w:b/>
                <w:sz w:val="14"/>
              </w:rPr>
              <w:t>NOT RUN</w:t>
            </w:r>
          </w:p>
        </w:tc>
      </w:tr>
      <w:tr>
        <w:trPr>
          <w:cantSplit/>
        </w:trPr>
        <w:tc>
          <w:tcPr>
            <w:tcW w:type="dxa" w:w="893"/>
            <w:vAlign w:val="top"/>
          </w:tcPr>
          <w:p>
            <w:pPr>
              <w:spacing w:after="20" w:before="20"/>
            </w:pPr>
            <w:r>
              <w:rPr>
                <w:b/>
                <w:color w:val="183656"/>
                <w:sz w:val="15"/>
              </w:rPr>
              <w:t>TC-04</w:t>
            </w:r>
          </w:p>
        </w:tc>
        <w:tc>
          <w:tcPr>
            <w:tcW w:type="dxa" w:w="1800"/>
            <w:vAlign w:val="top"/>
          </w:tcPr>
          <w:p>
            <w:pPr>
              <w:spacing w:after="20" w:before="20"/>
            </w:pPr>
            <w:r>
              <w:rPr>
                <w:sz w:val="15"/>
              </w:rPr>
              <w:t>Search events</w:t>
            </w:r>
          </w:p>
        </w:tc>
        <w:tc>
          <w:tcPr>
            <w:tcW w:type="dxa" w:w="3672"/>
            <w:vAlign w:val="top"/>
          </w:tcPr>
          <w:p>
            <w:pPr>
              <w:spacing w:after="20" w:before="20"/>
            </w:pPr>
            <w:r>
              <w:rPr>
                <w:sz w:val="15"/>
              </w:rPr>
              <w:t>On Events, search for “lab”, then search for a term with no match; clear the search.</w:t>
            </w:r>
          </w:p>
        </w:tc>
        <w:tc>
          <w:tcPr>
            <w:tcW w:type="dxa" w:w="3672"/>
            <w:vAlign w:val="top"/>
          </w:tcPr>
          <w:p>
            <w:pPr>
              <w:spacing w:after="20" w:before="20"/>
            </w:pPr>
            <w:r>
              <w:rPr>
                <w:sz w:val="15"/>
              </w:rPr>
              <w:t>Matching events appear; no match shows the empty-results message; clearing restores results.</w:t>
            </w:r>
          </w:p>
        </w:tc>
        <w:tc>
          <w:tcPr>
            <w:tcW w:type="dxa" w:w="3773"/>
            <w:vAlign w:val="top"/>
          </w:tcPr>
          <w:p>
            <w:pPr>
              <w:spacing w:after="20" w:before="20"/>
            </w:pPr>
            <w:r>
              <w:rPr>
                <w:sz w:val="15"/>
              </w:rPr>
              <w:t>Not executed; browser interaction testing unavailable in this session.</w:t>
            </w:r>
          </w:p>
        </w:tc>
        <w:tc>
          <w:tcPr>
            <w:tcW w:type="dxa" w:w="1037"/>
            <w:vAlign w:val="top"/>
            <w:shd w:fill="FFF0D5"/>
          </w:tcPr>
          <w:p>
            <w:pPr>
              <w:spacing w:after="20" w:before="20"/>
            </w:pPr>
            <w:r>
              <w:rPr>
                <w:b/>
                <w:sz w:val="14"/>
              </w:rPr>
              <w:t>NOT RUN</w:t>
            </w:r>
          </w:p>
        </w:tc>
      </w:tr>
      <w:tr>
        <w:trPr>
          <w:cantSplit/>
        </w:trPr>
        <w:tc>
          <w:tcPr>
            <w:tcW w:type="dxa" w:w="893"/>
            <w:vAlign w:val="top"/>
          </w:tcPr>
          <w:p>
            <w:pPr>
              <w:spacing w:after="20" w:before="20"/>
            </w:pPr>
            <w:r>
              <w:rPr>
                <w:b/>
                <w:color w:val="183656"/>
                <w:sz w:val="15"/>
              </w:rPr>
              <w:t>TC-05</w:t>
            </w:r>
          </w:p>
        </w:tc>
        <w:tc>
          <w:tcPr>
            <w:tcW w:type="dxa" w:w="1800"/>
            <w:vAlign w:val="top"/>
          </w:tcPr>
          <w:p>
            <w:pPr>
              <w:spacing w:after="20" w:before="20"/>
            </w:pPr>
            <w:r>
              <w:rPr>
                <w:sz w:val="15"/>
              </w:rPr>
              <w:t>Category and combined filters</w:t>
            </w:r>
          </w:p>
        </w:tc>
        <w:tc>
          <w:tcPr>
            <w:tcW w:type="dxa" w:w="3672"/>
            <w:vAlign w:val="top"/>
          </w:tcPr>
          <w:p>
            <w:pPr>
              <w:spacing w:after="20" w:before="20"/>
            </w:pPr>
            <w:r>
              <w:rPr>
                <w:sz w:val="15"/>
              </w:rPr>
              <w:t>Choose Technology, then search “computer”; choose All and clear filters.</w:t>
            </w:r>
          </w:p>
        </w:tc>
        <w:tc>
          <w:tcPr>
            <w:tcW w:type="dxa" w:w="3672"/>
            <w:vAlign w:val="top"/>
          </w:tcPr>
          <w:p>
            <w:pPr>
              <w:spacing w:after="20" w:before="20"/>
            </w:pPr>
            <w:r>
              <w:rPr>
                <w:sz w:val="15"/>
              </w:rPr>
              <w:t>Category and text filters combine correctly; URL reflects active filters; clearing restores all upcoming events.</w:t>
            </w:r>
          </w:p>
        </w:tc>
        <w:tc>
          <w:tcPr>
            <w:tcW w:type="dxa" w:w="3773"/>
            <w:vAlign w:val="top"/>
          </w:tcPr>
          <w:p>
            <w:pPr>
              <w:spacing w:after="20" w:before="20"/>
            </w:pPr>
            <w:r>
              <w:rPr>
                <w:sz w:val="15"/>
              </w:rPr>
              <w:t>Not executed; browser interaction testing unavailable in this session.</w:t>
            </w:r>
          </w:p>
        </w:tc>
        <w:tc>
          <w:tcPr>
            <w:tcW w:type="dxa" w:w="1037"/>
            <w:vAlign w:val="top"/>
            <w:shd w:fill="FFF0D5"/>
          </w:tcPr>
          <w:p>
            <w:pPr>
              <w:spacing w:after="20" w:before="20"/>
            </w:pPr>
            <w:r>
              <w:rPr>
                <w:b/>
                <w:sz w:val="14"/>
              </w:rPr>
              <w:t>NOT RUN</w:t>
            </w:r>
          </w:p>
        </w:tc>
      </w:tr>
      <w:tr>
        <w:trPr>
          <w:cantSplit/>
        </w:trPr>
        <w:tc>
          <w:tcPr>
            <w:tcW w:type="dxa" w:w="893"/>
            <w:vAlign w:val="top"/>
          </w:tcPr>
          <w:p>
            <w:pPr>
              <w:spacing w:after="20" w:before="20"/>
            </w:pPr>
            <w:r>
              <w:rPr>
                <w:b/>
                <w:color w:val="183656"/>
                <w:sz w:val="15"/>
              </w:rPr>
              <w:t>TC-06</w:t>
            </w:r>
          </w:p>
        </w:tc>
        <w:tc>
          <w:tcPr>
            <w:tcW w:type="dxa" w:w="1800"/>
            <w:vAlign w:val="top"/>
          </w:tcPr>
          <w:p>
            <w:pPr>
              <w:spacing w:after="20" w:before="20"/>
            </w:pPr>
            <w:r>
              <w:rPr>
                <w:sz w:val="15"/>
              </w:rPr>
              <w:t>Event details and invalid links</w:t>
            </w:r>
          </w:p>
        </w:tc>
        <w:tc>
          <w:tcPr>
            <w:tcW w:type="dxa" w:w="3672"/>
            <w:vAlign w:val="top"/>
          </w:tcPr>
          <w:p>
            <w:pPr>
              <w:spacing w:after="20" w:before="20"/>
            </w:pPr>
            <w:r>
              <w:rPr>
                <w:sz w:val="15"/>
              </w:rPr>
              <w:t>Open a valid event card; then open event-details.html with an unknown ID and with no ID.</w:t>
            </w:r>
          </w:p>
        </w:tc>
        <w:tc>
          <w:tcPr>
            <w:tcW w:type="dxa" w:w="3672"/>
            <w:vAlign w:val="top"/>
          </w:tcPr>
          <w:p>
            <w:pPr>
              <w:spacing w:after="20" w:before="20"/>
            </w:pPr>
            <w:r>
              <w:rPr>
                <w:sz w:val="15"/>
              </w:rPr>
              <w:t>Valid event details display; unknown or missing IDs show a helpful not-found state and a link back to Events.</w:t>
            </w:r>
          </w:p>
        </w:tc>
        <w:tc>
          <w:tcPr>
            <w:tcW w:type="dxa" w:w="3773"/>
            <w:vAlign w:val="top"/>
          </w:tcPr>
          <w:p>
            <w:pPr>
              <w:spacing w:after="20" w:before="20"/>
            </w:pPr>
            <w:r>
              <w:rPr>
                <w:sz w:val="15"/>
              </w:rPr>
              <w:t>Not executed; browser interaction testing unavailable in this session.</w:t>
            </w:r>
          </w:p>
        </w:tc>
        <w:tc>
          <w:tcPr>
            <w:tcW w:type="dxa" w:w="1037"/>
            <w:vAlign w:val="top"/>
            <w:shd w:fill="FFF0D5"/>
          </w:tcPr>
          <w:p>
            <w:pPr>
              <w:spacing w:after="20" w:before="20"/>
            </w:pPr>
            <w:r>
              <w:rPr>
                <w:b/>
                <w:sz w:val="14"/>
              </w:rPr>
              <w:t>NOT RUN</w:t>
            </w:r>
          </w:p>
        </w:tc>
      </w:tr>
      <w:tr>
        <w:trPr>
          <w:cantSplit/>
        </w:trPr>
        <w:tc>
          <w:tcPr>
            <w:tcW w:type="dxa" w:w="893"/>
            <w:vAlign w:val="top"/>
          </w:tcPr>
          <w:p>
            <w:pPr>
              <w:spacing w:after="20" w:before="20"/>
            </w:pPr>
            <w:r>
              <w:rPr>
                <w:b/>
                <w:color w:val="183656"/>
                <w:sz w:val="15"/>
              </w:rPr>
              <w:t>TC-07</w:t>
            </w:r>
          </w:p>
        </w:tc>
        <w:tc>
          <w:tcPr>
            <w:tcW w:type="dxa" w:w="1800"/>
            <w:vAlign w:val="top"/>
          </w:tcPr>
          <w:p>
            <w:pPr>
              <w:spacing w:after="20" w:before="20"/>
            </w:pPr>
            <w:r>
              <w:rPr>
                <w:sz w:val="15"/>
              </w:rPr>
              <w:t>Register for an event</w:t>
            </w:r>
          </w:p>
        </w:tc>
        <w:tc>
          <w:tcPr>
            <w:tcW w:type="dxa" w:w="3672"/>
            <w:vAlign w:val="top"/>
          </w:tcPr>
          <w:p>
            <w:pPr>
              <w:spacing w:after="20" w:before="20"/>
            </w:pPr>
            <w:r>
              <w:rPr>
                <w:sz w:val="15"/>
              </w:rPr>
              <w:t>Register for an upcoming event from Events, then register from its detail page using a different event.</w:t>
            </w:r>
          </w:p>
        </w:tc>
        <w:tc>
          <w:tcPr>
            <w:tcW w:type="dxa" w:w="3672"/>
            <w:vAlign w:val="top"/>
          </w:tcPr>
          <w:p>
            <w:pPr>
              <w:spacing w:after="20" w:before="20"/>
            </w:pPr>
            <w:r>
              <w:rPr>
                <w:sz w:val="15"/>
              </w:rPr>
              <w:t>Each successful action changes the button to a pending status and shows confirmation feedback.</w:t>
            </w:r>
          </w:p>
        </w:tc>
        <w:tc>
          <w:tcPr>
            <w:tcW w:type="dxa" w:w="3773"/>
            <w:vAlign w:val="top"/>
          </w:tcPr>
          <w:p>
            <w:pPr>
              <w:spacing w:after="20" w:before="20"/>
            </w:pPr>
            <w:r>
              <w:rPr>
                <w:sz w:val="15"/>
              </w:rPr>
              <w:t>Not executed; browser interaction testing unavailable in this session.</w:t>
            </w:r>
          </w:p>
        </w:tc>
        <w:tc>
          <w:tcPr>
            <w:tcW w:type="dxa" w:w="1037"/>
            <w:vAlign w:val="top"/>
            <w:shd w:fill="FFF0D5"/>
          </w:tcPr>
          <w:p>
            <w:pPr>
              <w:spacing w:after="20" w:before="20"/>
            </w:pPr>
            <w:r>
              <w:rPr>
                <w:b/>
                <w:sz w:val="14"/>
              </w:rPr>
              <w:t>NOT RUN</w:t>
            </w:r>
          </w:p>
        </w:tc>
      </w:tr>
      <w:tr>
        <w:trPr>
          <w:cantSplit/>
        </w:trPr>
        <w:tc>
          <w:tcPr>
            <w:tcW w:type="dxa" w:w="893"/>
            <w:vAlign w:val="top"/>
          </w:tcPr>
          <w:p>
            <w:pPr>
              <w:spacing w:after="20" w:before="20"/>
            </w:pPr>
            <w:r>
              <w:rPr>
                <w:b/>
                <w:color w:val="183656"/>
                <w:sz w:val="15"/>
              </w:rPr>
              <w:t>TC-08</w:t>
            </w:r>
          </w:p>
        </w:tc>
        <w:tc>
          <w:tcPr>
            <w:tcW w:type="dxa" w:w="1800"/>
            <w:vAlign w:val="top"/>
          </w:tcPr>
          <w:p>
            <w:pPr>
              <w:spacing w:after="20" w:before="20"/>
            </w:pPr>
            <w:r>
              <w:rPr>
                <w:sz w:val="15"/>
              </w:rPr>
              <w:t>Prevent duplicate registration</w:t>
            </w:r>
          </w:p>
        </w:tc>
        <w:tc>
          <w:tcPr>
            <w:tcW w:type="dxa" w:w="3672"/>
            <w:vAlign w:val="top"/>
          </w:tcPr>
          <w:p>
            <w:pPr>
              <w:spacing w:after="20" w:before="20"/>
            </w:pPr>
            <w:r>
              <w:rPr>
                <w:sz w:val="15"/>
              </w:rPr>
              <w:t>After registering for an event, revisit it and try to register again; reload the page.</w:t>
            </w:r>
          </w:p>
        </w:tc>
        <w:tc>
          <w:tcPr>
            <w:tcW w:type="dxa" w:w="3672"/>
            <w:vAlign w:val="top"/>
          </w:tcPr>
          <w:p>
            <w:pPr>
              <w:spacing w:after="20" w:before="20"/>
            </w:pPr>
            <w:r>
              <w:rPr>
                <w:sz w:val="15"/>
              </w:rPr>
              <w:t>The event remains registered, no second registration is created, and the saved state persists in this browser.</w:t>
            </w:r>
          </w:p>
        </w:tc>
        <w:tc>
          <w:tcPr>
            <w:tcW w:type="dxa" w:w="3773"/>
            <w:vAlign w:val="top"/>
          </w:tcPr>
          <w:p>
            <w:pPr>
              <w:spacing w:after="20" w:before="20"/>
            </w:pPr>
            <w:r>
              <w:rPr>
                <w:sz w:val="15"/>
              </w:rPr>
              <w:t>Not executed; browser interaction testing unavailable in this session.</w:t>
            </w:r>
          </w:p>
        </w:tc>
        <w:tc>
          <w:tcPr>
            <w:tcW w:type="dxa" w:w="1037"/>
            <w:vAlign w:val="top"/>
            <w:shd w:fill="FFF0D5"/>
          </w:tcPr>
          <w:p>
            <w:pPr>
              <w:spacing w:after="20" w:before="20"/>
            </w:pPr>
            <w:r>
              <w:rPr>
                <w:b/>
                <w:sz w:val="14"/>
              </w:rPr>
              <w:t>NOT RUN</w:t>
            </w:r>
          </w:p>
        </w:tc>
      </w:tr>
      <w:tr>
        <w:trPr>
          <w:cantSplit/>
        </w:trPr>
        <w:tc>
          <w:tcPr>
            <w:tcW w:type="dxa" w:w="893"/>
            <w:vAlign w:val="top"/>
          </w:tcPr>
          <w:p>
            <w:pPr>
              <w:spacing w:after="20" w:before="20"/>
            </w:pPr>
            <w:r>
              <w:rPr>
                <w:b/>
                <w:color w:val="183656"/>
                <w:sz w:val="15"/>
              </w:rPr>
              <w:t>TC-09</w:t>
            </w:r>
          </w:p>
        </w:tc>
        <w:tc>
          <w:tcPr>
            <w:tcW w:type="dxa" w:w="1800"/>
            <w:vAlign w:val="top"/>
          </w:tcPr>
          <w:p>
            <w:pPr>
              <w:spacing w:after="20" w:before="20"/>
            </w:pPr>
            <w:r>
              <w:rPr>
                <w:sz w:val="15"/>
              </w:rPr>
              <w:t>My Registrations view</w:t>
            </w:r>
          </w:p>
        </w:tc>
        <w:tc>
          <w:tcPr>
            <w:tcW w:type="dxa" w:w="3672"/>
            <w:vAlign w:val="top"/>
          </w:tcPr>
          <w:p>
            <w:pPr>
              <w:spacing w:after="20" w:before="20"/>
            </w:pPr>
            <w:r>
              <w:rPr>
                <w:sz w:val="15"/>
              </w:rPr>
              <w:t>Open My Registrations with default and newly saved sample registrations.</w:t>
            </w:r>
          </w:p>
        </w:tc>
        <w:tc>
          <w:tcPr>
            <w:tcW w:type="dxa" w:w="3672"/>
            <w:vAlign w:val="top"/>
          </w:tcPr>
          <w:p>
            <w:pPr>
              <w:spacing w:after="20" w:before="20"/>
            </w:pPr>
            <w:r>
              <w:rPr>
                <w:sz w:val="15"/>
              </w:rPr>
              <w:t>Summary counts and upcoming/past sections show the matching registrations and statuses.</w:t>
            </w:r>
          </w:p>
        </w:tc>
        <w:tc>
          <w:tcPr>
            <w:tcW w:type="dxa" w:w="3773"/>
            <w:vAlign w:val="top"/>
          </w:tcPr>
          <w:p>
            <w:pPr>
              <w:spacing w:after="20" w:before="20"/>
            </w:pPr>
            <w:r>
              <w:rPr>
                <w:sz w:val="15"/>
              </w:rPr>
              <w:t>Not executed; browser interaction testing unavailable in this session.</w:t>
            </w:r>
          </w:p>
        </w:tc>
        <w:tc>
          <w:tcPr>
            <w:tcW w:type="dxa" w:w="1037"/>
            <w:vAlign w:val="top"/>
            <w:shd w:fill="FFF0D5"/>
          </w:tcPr>
          <w:p>
            <w:pPr>
              <w:spacing w:after="20" w:before="20"/>
            </w:pPr>
            <w:r>
              <w:rPr>
                <w:b/>
                <w:sz w:val="14"/>
              </w:rPr>
              <w:t>NOT RUN</w:t>
            </w:r>
          </w:p>
        </w:tc>
      </w:tr>
      <w:tr>
        <w:trPr>
          <w:cantSplit/>
        </w:trPr>
        <w:tc>
          <w:tcPr>
            <w:tcW w:type="dxa" w:w="893"/>
            <w:vAlign w:val="top"/>
          </w:tcPr>
          <w:p>
            <w:pPr>
              <w:spacing w:after="20" w:before="20"/>
            </w:pPr>
            <w:r>
              <w:rPr>
                <w:b/>
                <w:color w:val="183656"/>
                <w:sz w:val="15"/>
              </w:rPr>
              <w:t>TC-10</w:t>
            </w:r>
          </w:p>
        </w:tc>
        <w:tc>
          <w:tcPr>
            <w:tcW w:type="dxa" w:w="1800"/>
            <w:vAlign w:val="top"/>
          </w:tcPr>
          <w:p>
            <w:pPr>
              <w:spacing w:after="20" w:before="20"/>
            </w:pPr>
            <w:r>
              <w:rPr>
                <w:sz w:val="15"/>
              </w:rPr>
              <w:t>Profile validation</w:t>
            </w:r>
          </w:p>
        </w:tc>
        <w:tc>
          <w:tcPr>
            <w:tcW w:type="dxa" w:w="3672"/>
            <w:vAlign w:val="top"/>
          </w:tcPr>
          <w:p>
            <w:pPr>
              <w:spacing w:after="20" w:before="20"/>
            </w:pPr>
            <w:r>
              <w:rPr>
                <w:sz w:val="15"/>
              </w:rPr>
              <w:t>Open Edit profile; try blank required fields, an invalid email, and an invalid phone number.</w:t>
            </w:r>
          </w:p>
        </w:tc>
        <w:tc>
          <w:tcPr>
            <w:tcW w:type="dxa" w:w="3672"/>
            <w:vAlign w:val="top"/>
          </w:tcPr>
          <w:p>
            <w:pPr>
              <w:spacing w:after="20" w:before="20"/>
            </w:pPr>
            <w:r>
              <w:rPr>
                <w:sz w:val="15"/>
              </w:rPr>
              <w:t>Invalid values are blocked by form validation and are not saved.</w:t>
            </w:r>
          </w:p>
        </w:tc>
        <w:tc>
          <w:tcPr>
            <w:tcW w:type="dxa" w:w="3773"/>
            <w:vAlign w:val="top"/>
          </w:tcPr>
          <w:p>
            <w:pPr>
              <w:spacing w:after="20" w:before="20"/>
            </w:pPr>
            <w:r>
              <w:rPr>
                <w:sz w:val="15"/>
              </w:rPr>
              <w:t>Not executed; browser interaction testing unavailable in this session.</w:t>
            </w:r>
          </w:p>
        </w:tc>
        <w:tc>
          <w:tcPr>
            <w:tcW w:type="dxa" w:w="1037"/>
            <w:vAlign w:val="top"/>
            <w:shd w:fill="FFF0D5"/>
          </w:tcPr>
          <w:p>
            <w:pPr>
              <w:spacing w:after="20" w:before="20"/>
            </w:pPr>
            <w:r>
              <w:rPr>
                <w:b/>
                <w:sz w:val="14"/>
              </w:rPr>
              <w:t>NOT RUN</w:t>
            </w:r>
          </w:p>
        </w:tc>
      </w:tr>
      <w:tr>
        <w:trPr>
          <w:cantSplit/>
        </w:trPr>
        <w:tc>
          <w:tcPr>
            <w:tcW w:type="dxa" w:w="893"/>
            <w:vAlign w:val="top"/>
          </w:tcPr>
          <w:p>
            <w:pPr>
              <w:spacing w:after="20" w:before="20"/>
            </w:pPr>
            <w:r>
              <w:rPr>
                <w:b/>
                <w:color w:val="183656"/>
                <w:sz w:val="15"/>
              </w:rPr>
              <w:t>TC-11</w:t>
            </w:r>
          </w:p>
        </w:tc>
        <w:tc>
          <w:tcPr>
            <w:tcW w:type="dxa" w:w="1800"/>
            <w:vAlign w:val="top"/>
          </w:tcPr>
          <w:p>
            <w:pPr>
              <w:spacing w:after="20" w:before="20"/>
            </w:pPr>
            <w:r>
              <w:rPr>
                <w:sz w:val="15"/>
              </w:rPr>
              <w:t>Save profile changes</w:t>
            </w:r>
          </w:p>
        </w:tc>
        <w:tc>
          <w:tcPr>
            <w:tcW w:type="dxa" w:w="3672"/>
            <w:vAlign w:val="top"/>
          </w:tcPr>
          <w:p>
            <w:pPr>
              <w:spacing w:after="20" w:before="20"/>
            </w:pPr>
            <w:r>
              <w:rPr>
                <w:sz w:val="15"/>
              </w:rPr>
              <w:t>Edit the name and contact details, save, reload Profile, and inspect Student ID.</w:t>
            </w:r>
          </w:p>
        </w:tc>
        <w:tc>
          <w:tcPr>
            <w:tcW w:type="dxa" w:w="3672"/>
            <w:vAlign w:val="top"/>
          </w:tcPr>
          <w:p>
            <w:pPr>
              <w:spacing w:after="20" w:before="20"/>
            </w:pPr>
            <w:r>
              <w:rPr>
                <w:sz w:val="15"/>
              </w:rPr>
              <w:t>Updated values persist in this browser; the student ID remains read-only and unchanged.</w:t>
            </w:r>
          </w:p>
        </w:tc>
        <w:tc>
          <w:tcPr>
            <w:tcW w:type="dxa" w:w="3773"/>
            <w:vAlign w:val="top"/>
          </w:tcPr>
          <w:p>
            <w:pPr>
              <w:spacing w:after="20" w:before="20"/>
            </w:pPr>
            <w:r>
              <w:rPr>
                <w:sz w:val="15"/>
              </w:rPr>
              <w:t>Not executed; browser interaction testing unavailable in this session.</w:t>
            </w:r>
          </w:p>
        </w:tc>
        <w:tc>
          <w:tcPr>
            <w:tcW w:type="dxa" w:w="1037"/>
            <w:vAlign w:val="top"/>
            <w:shd w:fill="FFF0D5"/>
          </w:tcPr>
          <w:p>
            <w:pPr>
              <w:spacing w:after="20" w:before="20"/>
            </w:pPr>
            <w:r>
              <w:rPr>
                <w:b/>
                <w:sz w:val="14"/>
              </w:rPr>
              <w:t>NOT RUN</w:t>
            </w:r>
          </w:p>
        </w:tc>
      </w:tr>
      <w:tr>
        <w:trPr>
          <w:cantSplit/>
        </w:trPr>
        <w:tc>
          <w:tcPr>
            <w:tcW w:type="dxa" w:w="893"/>
            <w:vAlign w:val="top"/>
          </w:tcPr>
          <w:p>
            <w:pPr>
              <w:spacing w:after="20" w:before="20"/>
            </w:pPr>
            <w:r>
              <w:rPr>
                <w:b/>
                <w:color w:val="183656"/>
                <w:sz w:val="15"/>
              </w:rPr>
              <w:t>TC-12</w:t>
            </w:r>
          </w:p>
        </w:tc>
        <w:tc>
          <w:tcPr>
            <w:tcW w:type="dxa" w:w="1800"/>
            <w:vAlign w:val="top"/>
          </w:tcPr>
          <w:p>
            <w:pPr>
              <w:spacing w:after="20" w:before="20"/>
            </w:pPr>
            <w:r>
              <w:rPr>
                <w:sz w:val="15"/>
              </w:rPr>
              <w:t>Mobile navigation</w:t>
            </w:r>
          </w:p>
        </w:tc>
        <w:tc>
          <w:tcPr>
            <w:tcW w:type="dxa" w:w="3672"/>
            <w:vAlign w:val="top"/>
          </w:tcPr>
          <w:p>
            <w:pPr>
              <w:spacing w:after="20" w:before="20"/>
            </w:pPr>
            <w:r>
              <w:rPr>
                <w:sz w:val="15"/>
              </w:rPr>
              <w:t>At a viewport 767 px wide or narrower, open the menu; close with Escape and with the backdrop.</w:t>
            </w:r>
          </w:p>
        </w:tc>
        <w:tc>
          <w:tcPr>
            <w:tcW w:type="dxa" w:w="3672"/>
            <w:vAlign w:val="top"/>
          </w:tcPr>
          <w:p>
            <w:pPr>
              <w:spacing w:after="20" w:before="20"/>
            </w:pPr>
            <w:r>
              <w:rPr>
                <w:sz w:val="15"/>
              </w:rPr>
              <w:t>Menu opens and closes; expanded state, backdrop, page scrolling, and focus update appropriately.</w:t>
            </w:r>
          </w:p>
        </w:tc>
        <w:tc>
          <w:tcPr>
            <w:tcW w:type="dxa" w:w="3773"/>
            <w:vAlign w:val="top"/>
          </w:tcPr>
          <w:p>
            <w:pPr>
              <w:spacing w:after="20" w:before="20"/>
            </w:pPr>
            <w:r>
              <w:rPr>
                <w:sz w:val="15"/>
              </w:rPr>
              <w:t>Not executed; browser interaction testing unavailable in this session.</w:t>
            </w:r>
          </w:p>
        </w:tc>
        <w:tc>
          <w:tcPr>
            <w:tcW w:type="dxa" w:w="1037"/>
            <w:vAlign w:val="top"/>
            <w:shd w:fill="FFF0D5"/>
          </w:tcPr>
          <w:p>
            <w:pPr>
              <w:spacing w:after="20" w:before="20"/>
            </w:pPr>
            <w:r>
              <w:rPr>
                <w:b/>
                <w:sz w:val="14"/>
              </w:rPr>
              <w:t>NOT RUN</w:t>
            </w:r>
          </w:p>
        </w:tc>
      </w:tr>
      <w:tr>
        <w:trPr>
          <w:cantSplit/>
        </w:trPr>
        <w:tc>
          <w:tcPr>
            <w:tcW w:type="dxa" w:w="893"/>
            <w:vAlign w:val="top"/>
          </w:tcPr>
          <w:p>
            <w:pPr>
              <w:spacing w:after="20" w:before="20"/>
            </w:pPr>
            <w:r>
              <w:rPr>
                <w:b/>
                <w:color w:val="183656"/>
                <w:sz w:val="15"/>
              </w:rPr>
              <w:t>TC-13</w:t>
            </w:r>
          </w:p>
        </w:tc>
        <w:tc>
          <w:tcPr>
            <w:tcW w:type="dxa" w:w="1800"/>
            <w:vAlign w:val="top"/>
          </w:tcPr>
          <w:p>
            <w:pPr>
              <w:spacing w:after="20" w:before="20"/>
            </w:pPr>
            <w:r>
              <w:rPr>
                <w:sz w:val="15"/>
              </w:rPr>
              <w:t>Empty and error states</w:t>
            </w:r>
          </w:p>
        </w:tc>
        <w:tc>
          <w:tcPr>
            <w:tcW w:type="dxa" w:w="3672"/>
            <w:vAlign w:val="top"/>
          </w:tcPr>
          <w:p>
            <w:pPr>
              <w:spacing w:after="20" w:before="20"/>
            </w:pPr>
            <w:r>
              <w:rPr>
                <w:sz w:val="15"/>
              </w:rPr>
              <w:t>Open Events with ?mock=empty, then ?mock=error; use Try again on the error state.</w:t>
            </w:r>
          </w:p>
        </w:tc>
        <w:tc>
          <w:tcPr>
            <w:tcW w:type="dxa" w:w="3672"/>
            <w:vAlign w:val="top"/>
          </w:tcPr>
          <w:p>
            <w:pPr>
              <w:spacing w:after="20" w:before="20"/>
            </w:pPr>
            <w:r>
              <w:rPr>
                <w:sz w:val="15"/>
              </w:rPr>
              <w:t>Empty data shows the no-events message; load failure shows an error and retry control.</w:t>
            </w:r>
          </w:p>
        </w:tc>
        <w:tc>
          <w:tcPr>
            <w:tcW w:type="dxa" w:w="3773"/>
            <w:vAlign w:val="top"/>
          </w:tcPr>
          <w:p>
            <w:pPr>
              <w:spacing w:after="20" w:before="20"/>
            </w:pPr>
            <w:r>
              <w:rPr>
                <w:sz w:val="15"/>
              </w:rPr>
              <w:t>Not executed; browser interaction testing unavailable in this session.</w:t>
            </w:r>
          </w:p>
        </w:tc>
        <w:tc>
          <w:tcPr>
            <w:tcW w:type="dxa" w:w="1037"/>
            <w:vAlign w:val="top"/>
            <w:shd w:fill="FFF0D5"/>
          </w:tcPr>
          <w:p>
            <w:pPr>
              <w:spacing w:after="20" w:before="20"/>
            </w:pPr>
            <w:r>
              <w:rPr>
                <w:b/>
                <w:sz w:val="14"/>
              </w:rPr>
              <w:t>NOT RUN</w:t>
            </w:r>
          </w:p>
        </w:tc>
      </w:tr>
    </w:tbl>
    <w:p>
      <w:pPr>
        <w:spacing w:before="140"/>
      </w:pPr>
      <w:r>
        <w:rPr>
          <w:b/>
        </w:rPr>
        <w:t xml:space="preserve">Execution summary. </w:t>
      </w:r>
      <w:r>
        <w:t>2 static checks passed; 11 browser interaction cases remain unrun. Record the tester, date, and any defects when those cases are executed in a browser.</w:t>
      </w:r>
    </w:p>
    <w:sectPr w:rsidR="00FC693F" w:rsidRPr="0006063C"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C37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6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6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Event Management Test Cases</dc:title>
  <dc:subject>Test case checklist for the CampusFlow front-end demo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