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jc w:val="center"/>
      </w:pPr>
      <w:r>
        <w:rPr>
          <w:rFonts w:ascii="Times New Roman" w:cs="Times New Roman" w:eastAsia="Times New Roman" w:hAnsi="Times New Roman"/>
          <w:b/>
          <w:bCs/>
          <w:sz w:val="32"/>
          <w:szCs w:val="32"/>
        </w:rPr>
        <w:t xml:space="preserve">A Multi-Scale Computational Framework for Glioblastoma</w:t>
      </w:r>
    </w:p>
    <w:p>
      <w:pPr>
        <w:spacing w:after="60" w:before="60"/>
        <w:jc w:val="center"/>
      </w:pPr>
      <w:r>
        <w:rPr>
          <w:rFonts w:ascii="Times New Roman" w:cs="Times New Roman" w:eastAsia="Times New Roman" w:hAnsi="Times New Roman"/>
          <w:b/>
          <w:bCs/>
          <w:sz w:val="32"/>
          <w:szCs w:val="32"/>
        </w:rPr>
        <w:t xml:space="preserve">Modeling, Biophysical Simulation, and Reinforcement Learning-Guided</w:t>
      </w:r>
    </w:p>
    <w:p>
      <w:pPr>
        <w:spacing w:after="60" w:before="60"/>
        <w:jc w:val="center"/>
      </w:pPr>
      <w:r>
        <w:rPr>
          <w:rFonts w:ascii="Times New Roman" w:cs="Times New Roman" w:eastAsia="Times New Roman" w:hAnsi="Times New Roman"/>
          <w:b/>
          <w:bCs/>
          <w:sz w:val="32"/>
          <w:szCs w:val="32"/>
        </w:rPr>
        <w:t xml:space="preserve">Adaptive Therapy Optimization</w:t>
      </w:r>
    </w:p>
    <w:p>
      <w:pPr>
        <w:spacing w:after="60" w:before="60"/>
      </w:pPr>
      <w:r>
        <w:t xml:space="preserve"/>
      </w:r>
    </w:p>
    <w:p>
      <w:pPr>
        <w:spacing w:after="60" w:before="60"/>
        <w:jc w:val="center"/>
      </w:pPr>
      <w:r>
        <w:rPr>
          <w:rFonts w:ascii="Times New Roman" w:cs="Times New Roman" w:eastAsia="Times New Roman" w:hAnsi="Times New Roman"/>
          <w:sz w:val="24"/>
          <w:szCs w:val="24"/>
        </w:rPr>
        <w:t xml:space="preserve">Vihan Santhosh</w:t>
      </w:r>
    </w:p>
    <w:p>
      <w:pPr>
        <w:spacing w:after="60" w:before="60"/>
      </w:pPr>
      <w:r>
        <w:t xml:space="preserve"/>
      </w:r>
    </w:p>
    <w:p>
      <w:pPr>
        <w:spacing w:after="60" w:before="60"/>
        <w:jc w:val="center"/>
      </w:pPr>
      <w:r>
        <w:rPr>
          <w:rFonts w:ascii="Times New Roman" w:cs="Times New Roman" w:eastAsia="Times New Roman" w:hAnsi="Times New Roman"/>
          <w:i/>
          <w:iCs/>
          <w:sz w:val="22"/>
          <w:szCs w:val="22"/>
        </w:rPr>
        <w:t xml:space="preserve">Running title: GBM Digital Twin and RL Adaptive Therapy</w:t>
      </w:r>
    </w:p>
    <w:p>
      <w:pPr>
        <w:spacing w:after="60" w:before="60"/>
      </w:pPr>
      <w:r>
        <w:t xml:space="preserve"/>
      </w:r>
    </w:p>
    <w:p>
      <w:pPr>
        <w:spacing w:after="60" w:before="60"/>
        <w:jc w:val="center"/>
      </w:pPr>
      <w:r>
        <w:rPr>
          <w:rFonts w:ascii="Times New Roman" w:cs="Times New Roman" w:eastAsia="Times New Roman" w:hAnsi="Times New Roman"/>
          <w:sz w:val="22"/>
          <w:szCs w:val="22"/>
        </w:rPr>
        <w:t xml:space="preserve">Correspondence: vihansanthosh516@gmail.com</w:t>
      </w:r>
    </w:p>
    <w:p>
      <w:pPr>
        <w:spacing w:after="60" w:before="60"/>
      </w:pPr>
      <w:r>
        <w:t xml:space="preserve"/>
      </w:r>
    </w:p>
    <w:p>
      <w:pPr>
        <w:spacing w:after="60" w:before="60"/>
        <w:jc w:val="center"/>
      </w:pPr>
      <w:r>
        <w:rPr>
          <w:rFonts w:ascii="Times New Roman" w:cs="Times New Roman" w:eastAsia="Times New Roman" w:hAnsi="Times New Roman"/>
          <w:sz w:val="22"/>
          <w:szCs w:val="22"/>
        </w:rPr>
        <w:t xml:space="preserve">Keywords: glioblastoma; partial differential equations; reinforcement learning;</w:t>
      </w:r>
    </w:p>
    <w:p>
      <w:pPr>
        <w:spacing w:after="60" w:before="60"/>
        <w:jc w:val="center"/>
      </w:pPr>
      <w:r>
        <w:rPr>
          <w:rFonts w:ascii="Times New Roman" w:cs="Times New Roman" w:eastAsia="Times New Roman" w:hAnsi="Times New Roman"/>
          <w:sz w:val="22"/>
          <w:szCs w:val="22"/>
        </w:rPr>
        <w:t xml:space="preserve">anisotropic diffusion; digital twin; adaptive therapy; causal gene regulatory networks;</w:t>
      </w:r>
    </w:p>
    <w:p>
      <w:pPr>
        <w:spacing w:after="60" w:before="60"/>
        <w:jc w:val="center"/>
      </w:pPr>
      <w:r>
        <w:rPr>
          <w:rFonts w:ascii="Times New Roman" w:cs="Times New Roman" w:eastAsia="Times New Roman" w:hAnsi="Times New Roman"/>
          <w:sz w:val="22"/>
          <w:szCs w:val="22"/>
        </w:rPr>
        <w:t xml:space="preserve">single-cell multi-omics; chronotherapy; Waddington landscape</w:t>
      </w:r>
    </w:p>
    <w:p>
      <w:pPr>
        <w:spacing w:after="60" w:before="60"/>
      </w:pPr>
      <w:r>
        <w:t xml:space="preserve"/>
      </w:r>
    </w:p>
    <w:p>
      <w:pPr>
        <w:spacing w:after="60" w:before="60"/>
        <w:jc w:val="center"/>
      </w:pPr>
      <w:r>
        <w:rPr>
          <w:rFonts w:ascii="Times New Roman" w:cs="Times New Roman" w:eastAsia="Times New Roman" w:hAnsi="Times New Roman"/>
          <w:sz w:val="22"/>
          <w:szCs w:val="22"/>
        </w:rPr>
        <w:t xml:space="preserve">Manuscript type: Research Article</w:t>
      </w:r>
    </w:p>
    <w:p>
      <w:pPr>
        <w:spacing w:after="60" w:before="60"/>
        <w:jc w:val="center"/>
      </w:pPr>
      <w:r>
        <w:rPr>
          <w:rFonts w:ascii="Times New Roman" w:cs="Times New Roman" w:eastAsia="Times New Roman" w:hAnsi="Times New Roman"/>
          <w:sz w:val="22"/>
          <w:szCs w:val="22"/>
        </w:rPr>
        <w:t xml:space="preserve">Target journal: PLOS Computational Biology / Journal of Theoretical Biology</w:t>
      </w:r>
    </w:p>
    <w:p>
      <w:r>
        <w:br w:type="page"/>
      </w:r>
    </w:p>
    <w:p>
      <w:pPr>
        <w:pStyle w:val="Heading1"/>
        <w:spacing w:after="120" w:before="320"/>
      </w:pPr>
      <w:r>
        <w:t xml:space="preserve">Abstract</w:t>
      </w:r>
      <w:r>
        <w:rPr>
          <w:rFonts w:ascii="Times New Roman" w:cs="Times New Roman" w:eastAsia="Times New Roman" w:hAnsi="Times New Roman"/>
          <w:b/>
          <w:bCs/>
          <w:caps/>
          <w:sz w:val="28"/>
          <w:szCs w:val="28"/>
        </w:rPr>
        <w:t xml:space="preserve">Abstract</w:t>
      </w:r>
    </w:p>
    <w:p>
      <w:pPr>
        <w:spacing w:after="60" w:before="60" w:line="360" w:lineRule="auto"/>
        <w:jc w:val="both"/>
      </w:pPr>
      <w:r>
        <w:rPr>
          <w:rFonts w:ascii="Times New Roman" w:cs="Times New Roman" w:eastAsia="Times New Roman" w:hAnsi="Times New Roman"/>
          <w:b/>
          <w:bCs/>
          <w:sz w:val="24"/>
          <w:szCs w:val="24"/>
        </w:rPr>
        <w:t xml:space="preserve">Background. </w:t>
      </w:r>
      <w:r>
        <w:rPr>
          <w:rFonts w:ascii="Times New Roman" w:cs="Times New Roman" w:eastAsia="Times New Roman" w:hAnsi="Times New Roman"/>
          <w:sz w:val="24"/>
          <w:szCs w:val="24"/>
        </w:rPr>
        <w:t xml:space="preserve">Glioblastoma (GBM) is the most lethal primary brain malignancy, with a median survival of approximately 15 months under standard Stupp protocol chemoradiotherapy. A central reason for poor outcomes is the rigid, population-averaged nature of current treatment schedules, which do not account for patient-specific tumor biophysics, molecular heterogeneity, or dynamic treatment response. Computational frameworks that integrate molecular-scale oncology with macroscopic biophysical dynamics and adaptive therapy optimization are therefore critically needed.</w:t>
      </w:r>
    </w:p>
    <w:p>
      <w:pPr>
        <w:spacing w:after="60" w:before="60"/>
      </w:pPr>
      <w:r>
        <w:t xml:space="preserve"/>
      </w:r>
    </w:p>
    <w:p>
      <w:pPr>
        <w:spacing w:after="60" w:before="60" w:line="360" w:lineRule="auto"/>
        <w:jc w:val="both"/>
      </w:pPr>
      <w:r>
        <w:rPr>
          <w:rFonts w:ascii="Times New Roman" w:cs="Times New Roman" w:eastAsia="Times New Roman" w:hAnsi="Times New Roman"/>
          <w:b/>
          <w:bCs/>
          <w:sz w:val="24"/>
          <w:szCs w:val="24"/>
        </w:rPr>
        <w:t xml:space="preserve">Methods. </w:t>
      </w:r>
      <w:r>
        <w:rPr>
          <w:rFonts w:ascii="Times New Roman" w:cs="Times New Roman" w:eastAsia="Times New Roman" w:hAnsi="Times New Roman"/>
          <w:sz w:val="24"/>
          <w:szCs w:val="24"/>
        </w:rPr>
        <w:t xml:space="preserve">We developed a three-track mechanistic computational platform. Track A (Multi-Scale Spatial Oncology Suite, MSOS) processes 223,820 single-cell multi-omic profiles from 25 GBM patients across Core, Periphery, and Healthy tissue zones. It constructs causal gene regulatory networks (GRNs) via transfer entropy and PID decomposition, computes Waddington energy landscapes, and simulates tumor invasion via Fischer-KPP partial differential equations (PDEs). Track B implements an anisotropic diffusion PDE cohort model (8 synthetic patients) featuring DTI-derived diffusion tensors (D‖/D⊥ = 10×), tumor-stroma coupling, dual-clone drug resistance dynamics, and global Sobol sensitivity analysis. Track C builds a 3D biophysical Digital Twin integrating L-BFGS-B inverse parameter estimation, robust Model Predictive Control, a Gymnasium reinforcement learning (RL) agent for adaptive therapy steering, FNO-accelerated neural PDE surrogates, and circadian-aware PPO chronotherapy training.</w:t>
      </w:r>
    </w:p>
    <w:p>
      <w:pPr>
        <w:spacing w:after="60" w:before="60"/>
      </w:pPr>
      <w:r>
        <w:t xml:space="preserve"/>
      </w:r>
    </w:p>
    <w:p>
      <w:pPr>
        <w:spacing w:after="60" w:before="60" w:line="360" w:lineRule="auto"/>
        <w:jc w:val="both"/>
      </w:pPr>
      <w:r>
        <w:rPr>
          <w:rFonts w:ascii="Times New Roman" w:cs="Times New Roman" w:eastAsia="Times New Roman" w:hAnsi="Times New Roman"/>
          <w:b/>
          <w:bCs/>
          <w:sz w:val="24"/>
          <w:szCs w:val="24"/>
        </w:rPr>
        <w:t xml:space="preserve">Results. </w:t>
      </w:r>
      <w:r>
        <w:rPr>
          <w:rFonts w:ascii="Times New Roman" w:cs="Times New Roman" w:eastAsia="Times New Roman" w:hAnsi="Times New Roman"/>
          <w:sz w:val="24"/>
          <w:szCs w:val="24"/>
        </w:rPr>
        <w:t xml:space="preserve">Track A identifies APOD, S100B, and MT3 as master regulatory switches in the GBM causal GRN, demonstrates a mathematically proven continuous spatial transcriptomic gradient (CSGT) across tumor zones (Kruskal-Wallis p &lt; 0.001), and establishes dual-attractor Waddington dynamics separating healthy and malignant cell states. Track B demonstrates that anisotropic diffusion produces significantly higher fractal tumor morphology (Df = 1.04–1.49 versus ~0 isotropic; Cohen's d = 8.75), stromal coupling maintains front correlations of r = 0.938–0.952, and adaptive therapy achieves 13.3 ± 4.3% cumulative dose reduction with non-inferior time-to-progression compared to maximum tolerated dose (MTD) regimens. Track C shows that RL adaptive therapy reduces final tumor volume 10.6-fold relative to standard Stupp (1.04 mm³ vs. 11.01 mm³), yielding a data-driven biomarker rule: RL is preferred when proliferation rate ρ &gt; 0.024 day⁻¹ (win rate &gt; 80%). FNO surrogates achieve &gt; 1000× inference speedup over ETDRK4 solvers. Circadian-aware PPO chronotherapy provides statistically significant volumetric gains over both fixed-schedule and adaptive baselines in virtual trials.</w:t>
      </w:r>
    </w:p>
    <w:p>
      <w:pPr>
        <w:spacing w:after="60" w:before="60"/>
      </w:pPr>
      <w:r>
        <w:t xml:space="preserve"/>
      </w:r>
    </w:p>
    <w:p>
      <w:pPr>
        <w:spacing w:after="60" w:before="60" w:line="360" w:lineRule="auto"/>
        <w:jc w:val="both"/>
      </w:pPr>
      <w:r>
        <w:rPr>
          <w:rFonts w:ascii="Times New Roman" w:cs="Times New Roman" w:eastAsia="Times New Roman" w:hAnsi="Times New Roman"/>
          <w:b/>
          <w:bCs/>
          <w:sz w:val="24"/>
          <w:szCs w:val="24"/>
        </w:rPr>
        <w:t xml:space="preserve">Conclusions. </w:t>
      </w:r>
      <w:r>
        <w:rPr>
          <w:rFonts w:ascii="Times New Roman" w:cs="Times New Roman" w:eastAsia="Times New Roman" w:hAnsi="Times New Roman"/>
          <w:sz w:val="24"/>
          <w:szCs w:val="24"/>
        </w:rPr>
        <w:t xml:space="preserve">This platform constitutes the most comprehensive open-source GBM computational framework to date, spanning single-cell omics through adaptive RL therapy across three interoperable research tracks. All findings are computational proof-of-concept results on synthetic and publicly available datasets and require clinical validation before translational application.</w:t>
      </w:r>
    </w:p>
    <w:p>
      <w:r>
        <w:br w:type="page"/>
      </w:r>
    </w:p>
    <w:p>
      <w:pPr>
        <w:pStyle w:val="Heading1"/>
        <w:spacing w:after="120" w:before="320"/>
      </w:pPr>
      <w:r>
        <w:t xml:space="preserve">1. Introduction</w:t>
      </w:r>
      <w:r>
        <w:rPr>
          <w:rFonts w:ascii="Times New Roman" w:cs="Times New Roman" w:eastAsia="Times New Roman" w:hAnsi="Times New Roman"/>
          <w:b/>
          <w:bCs/>
          <w:caps/>
          <w:sz w:val="28"/>
          <w:szCs w:val="28"/>
        </w:rPr>
        <w:t xml:space="preserve">1. Introduction</w:t>
      </w:r>
    </w:p>
    <w:p>
      <w:pPr>
        <w:spacing w:after="60" w:before="60" w:line="360" w:lineRule="auto"/>
        <w:jc w:val="both"/>
      </w:pPr>
      <w:r>
        <w:rPr>
          <w:rFonts w:ascii="Times New Roman" w:cs="Times New Roman" w:eastAsia="Times New Roman" w:hAnsi="Times New Roman"/>
          <w:sz w:val="24"/>
          <w:szCs w:val="24"/>
        </w:rPr>
        <w:t xml:space="preserve">Glioblastoma multiforme (GBM; WHO Grade IV) is the most common and aggressive primary malignant brain tumor in adults, accounting for approximately 48% of all primary malignant brain tumors in the United States and carrying a median overall survival of 14.6 months under the current standard of care [Stupp 2005]. Despite decades of research, no therapy has substantially improved this prognosis. The Stupp protocol — maximal safe surgical resection followed by concurrent radiotherapy (60 Gy in 30 fractions) and temozolomide (TMZ) chemotherapy — remains the standard of care established in 2005, yet it is a fixed, population-averaged schedule that does not adapt to individual tumor biology, evolving drug resistance, or spatially heterogeneous tissue dynamics.</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Three fundamental challenges drive this therapeutic stagnation. First, GBM is characterized by profound intratumoral molecular heterogeneity: single-cell profiling has identified co-existing astrocyte-like, mesenchymal, neural progenitor cell, and oligodendrocyte progenitor cell transcriptional states within individual tumors, with proportions varying between patients and even between spatially distinct regions of the same tumor [Neftel 2019; Patel 2014]. Second, GBM invasion is biophysically anisotropic: tumor cells migrate preferentially along white matter fiber tracts and perivascular spaces, a process governed by the diffusion tensor microstructure of the brain parenchyma and not captured by isotropic continuum models [Jbabdi 2005; Swanson 2008]. Third, drug resistance evolves dynamically during treatment: TMZ selects for O6-methylguanine-DNA methyltransferase (MGMT)-expressing resistant clones, and fixed-schedule therapy accelerates this selection compared to adaptive strategies that use drug holidays to exploit evolutionary game-theoretic vulnerabilities [Gatenby 2019; West 2018].</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Computational modeling offers a principled path to integrate these scales. The Fischer-Kolmogorov-Petrovsky-Piskunov (FK-KPP) reaction-diffusion PDE framework has provided a mechanistic basis for GBM spatial dynamics since the foundational work of Murray [2003] and Swanson et al. [2000], predicting clinical outcomes including recurrence location and survival from MRI-derived parameters. Extensions incorporating DTI-derived anisotropic diffusion tensors [Jbabdi 2005], tumor-stroma interactions [Kim 2015], and pharmacokinetic-pharmacodynamic (PK-PD) drug models have progressively increased biological fidelity. In parallel, machine learning approaches including graph neural networks [Hamilton 2017], reinforcement learning [Sutton 2018], and Fourier Neural Operators [Li 2021] have opened new avenues for data-driven parameter inference, therapy optimization, and PDE acceleration.</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However, existing computational GBM frameworks are largely siloed: single-cell omics analyses rarely connect to PDE invasion models, and adaptive therapy optimization rarely incorporates patient-specific biophysical parameters. No existing platform integrates causal molecular network analysis, DTI-driven anisotropic PDE dynamics, and RL-based adaptive therapy within a unified, reproducible computational architecture.</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Here we present a three-track mechanistic computational platform that addresses this gap. Track A (Multi-Scale Spatial Oncology Suite, MSOS) spans from 223,820 single-cell multi-omic profiles through causal GRN inference, Waddington energy landscape computation, and in silico drug discovery. Track B implements an 8-patient synthetic PDE cohort with anisotropic diffusion, stromal coupling, and adaptive therapy optimization. Track C constructs a 3D biophysical Digital Twin integrating inverse parameter estimation, robust Model Predictive Control, Gymnasium RL adaptive therapy, FNO neural PDE surrogates, and circadian-aware PPO chronotherapy. Together, these tracks establish a reproducible computational hypothesis-generation platform for GBM research.</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Our principal contributions are: (1) the first demonstration of a mathematically proven Continuous Spatial Gradient Theorem (CSGT) for GBM transcriptomic states across tumor zones; (2) rigorous statistical validation that anisotropic diffusion tensor dynamics produce significantly higher fractal tumor morphology than isotropic models; (3) a data-driven RL biomarker rule linking high-proliferation phenotype (ρ &gt; 0.024 day⁻¹) to RL adaptive therapy superiority; and (4) an open-source integrated platform spanning five orders of magnitude in biological scale, from gene regulatory logic to virtual clinical trials.</w:t>
      </w:r>
    </w:p>
    <w:p>
      <w:r>
        <w:br w:type="page"/>
      </w:r>
    </w:p>
    <w:p>
      <w:pPr>
        <w:pStyle w:val="Heading1"/>
        <w:spacing w:after="120" w:before="320"/>
      </w:pPr>
      <w:r>
        <w:t xml:space="preserve">2. Methods</w:t>
      </w:r>
      <w:r>
        <w:rPr>
          <w:rFonts w:ascii="Times New Roman" w:cs="Times New Roman" w:eastAsia="Times New Roman" w:hAnsi="Times New Roman"/>
          <w:b/>
          <w:bCs/>
          <w:caps/>
          <w:sz w:val="28"/>
          <w:szCs w:val="28"/>
        </w:rPr>
        <w:t xml:space="preserve">2. Methods</w:t>
      </w:r>
    </w:p>
    <w:p>
      <w:pPr>
        <w:pStyle w:val="Heading2"/>
        <w:spacing w:after="80" w:before="240"/>
      </w:pPr>
      <w:r>
        <w:rPr>
          <w:rFonts w:ascii="Times New Roman" w:cs="Times New Roman" w:eastAsia="Times New Roman" w:hAnsi="Times New Roman"/>
          <w:b/>
          <w:bCs/>
          <w:sz w:val="26"/>
          <w:szCs w:val="26"/>
        </w:rPr>
        <w:t xml:space="preserve">2.1 Track A: Multi-Scale Spatial Oncology Suite (MSOS)</w:t>
      </w:r>
    </w:p>
    <w:p>
      <w:pPr>
        <w:pStyle w:val="Heading3"/>
        <w:spacing w:after="60" w:before="180"/>
      </w:pPr>
      <w:r>
        <w:rPr>
          <w:rFonts w:ascii="Times New Roman" w:cs="Times New Roman" w:eastAsia="Times New Roman" w:hAnsi="Times New Roman"/>
          <w:b/>
          <w:bCs/>
          <w:i/>
          <w:iCs/>
          <w:sz w:val="24"/>
          <w:szCs w:val="24"/>
        </w:rPr>
        <w:t xml:space="preserve">2.1.1 Data Acquisition and Preprocessing</w:t>
      </w:r>
    </w:p>
    <w:p>
      <w:pPr>
        <w:spacing w:after="60" w:before="60" w:line="360" w:lineRule="auto"/>
        <w:jc w:val="both"/>
      </w:pPr>
      <w:r>
        <w:rPr>
          <w:rFonts w:ascii="Times New Roman" w:cs="Times New Roman" w:eastAsia="Times New Roman" w:hAnsi="Times New Roman"/>
          <w:sz w:val="24"/>
          <w:szCs w:val="24"/>
        </w:rPr>
        <w:t xml:space="preserve">Single-cell multi-omic data were obtained from the UCSC multiomic-gbm dataset comprising 223,820 cells from 25 GBM patients. Each cell was assigned to one of three spatial zones — Core (necrotic/hypoxic center), Periphery (invasive margin), and Healthy (peritumoral normal tissue) — based on published spatial transcriptomic annotations. Quality control filters retained cells with 500–7,500 detected genes, mitochondrial fraction &lt; 20%, and log-normalized total counts within the 5th–95th percentile. Highly variable gene (HVG) selection (top 2,500 by dispersion) was applied for downstream analyses. Batch correction across patients used Harmony integration preserving biological variation.</w:t>
      </w:r>
    </w:p>
    <w:p>
      <w:pPr>
        <w:pStyle w:val="Heading3"/>
        <w:spacing w:after="60" w:before="180"/>
      </w:pPr>
      <w:r>
        <w:rPr>
          <w:rFonts w:ascii="Times New Roman" w:cs="Times New Roman" w:eastAsia="Times New Roman" w:hAnsi="Times New Roman"/>
          <w:b/>
          <w:bCs/>
          <w:i/>
          <w:iCs/>
          <w:sz w:val="24"/>
          <w:szCs w:val="24"/>
        </w:rPr>
        <w:t xml:space="preserve">2.1.2 Machine Learning Baselines and cVAE Representation</w:t>
      </w:r>
    </w:p>
    <w:p>
      <w:pPr>
        <w:spacing w:after="60" w:before="60" w:line="360" w:lineRule="auto"/>
        <w:jc w:val="both"/>
      </w:pPr>
      <w:r>
        <w:rPr>
          <w:rFonts w:ascii="Times New Roman" w:cs="Times New Roman" w:eastAsia="Times New Roman" w:hAnsi="Times New Roman"/>
          <w:sz w:val="24"/>
          <w:szCs w:val="24"/>
        </w:rPr>
        <w:t xml:space="preserve">Classical baselines (Logistic Regression, Random Forest) were trained on the 2,500 HVG matrix for three-class zonal prediction, achieving &gt; 94% accuracy and confirming strong linear separability of transcriptional states. A contrastive Variational Autoencoder (cVAE) was trained using patient and spatial region identities as contrastive positive pairs, yielding a 32-dimensional biologically meaningful latent space. The cVAE was scaled to the full 140,820-cell dataset, and latent embeddings were used for all downstream graph and landscape analyses.</w:t>
      </w:r>
    </w:p>
    <w:p>
      <w:pPr>
        <w:pStyle w:val="Heading3"/>
        <w:spacing w:after="60" w:before="180"/>
      </w:pPr>
      <w:r>
        <w:rPr>
          <w:rFonts w:ascii="Times New Roman" w:cs="Times New Roman" w:eastAsia="Times New Roman" w:hAnsi="Times New Roman"/>
          <w:b/>
          <w:bCs/>
          <w:i/>
          <w:iCs/>
          <w:sz w:val="24"/>
          <w:szCs w:val="24"/>
        </w:rPr>
        <w:t xml:space="preserve">2.1.3 Contrastive Graph Attention Network (C-GAT)</w:t>
      </w:r>
    </w:p>
    <w:p>
      <w:pPr>
        <w:spacing w:after="60" w:before="60" w:line="360" w:lineRule="auto"/>
        <w:jc w:val="both"/>
      </w:pPr>
      <w:r>
        <w:rPr>
          <w:rFonts w:ascii="Times New Roman" w:cs="Times New Roman" w:eastAsia="Times New Roman" w:hAnsi="Times New Roman"/>
          <w:sz w:val="24"/>
          <w:szCs w:val="24"/>
        </w:rPr>
        <w:t xml:space="preserve">A graph was constructed over cVAE latents using k-nearest-neighbor edges (k = 15) with patient-level and region-level edges added to enforce biological priors, yielding a graph of 2.1 million edges. A Graph Attention Network (GAT) with 4 attention heads was trained on this graph for zonal classification. Non-negative Matrix Factorization (NMF) was applied independently, recovering 4 biological meta-modules corresponding to published GBM transcriptional programs: astrocyte-like (AC), mesenchymal (MES), neural progenitor cell (NPC), and oligodendrocyte progenitor cell (OPC) subtypes.</w:t>
      </w:r>
    </w:p>
    <w:p>
      <w:pPr>
        <w:pStyle w:val="Heading3"/>
        <w:spacing w:after="60" w:before="180"/>
      </w:pPr>
      <w:r>
        <w:rPr>
          <w:rFonts w:ascii="Times New Roman" w:cs="Times New Roman" w:eastAsia="Times New Roman" w:hAnsi="Times New Roman"/>
          <w:b/>
          <w:bCs/>
          <w:i/>
          <w:iCs/>
          <w:sz w:val="24"/>
          <w:szCs w:val="24"/>
        </w:rPr>
        <w:t xml:space="preserve">2.1.4 Continuous Spatial Gradient Theorem (CSGT)</w:t>
      </w:r>
    </w:p>
    <w:p>
      <w:pPr>
        <w:spacing w:after="60" w:before="60" w:line="360" w:lineRule="auto"/>
        <w:jc w:val="both"/>
      </w:pPr>
      <w:r>
        <w:rPr>
          <w:rFonts w:ascii="Times New Roman" w:cs="Times New Roman" w:eastAsia="Times New Roman" w:hAnsi="Times New Roman"/>
          <w:sz w:val="24"/>
          <w:szCs w:val="24"/>
        </w:rPr>
        <w:t xml:space="preserve">We define the Tumor Infiltration Index T_i for each cell i as a monotonic function of its cVAE latent position along the principal invasion axis, identified by supervised contrastive learning. The CSGT states that T_i increases continuously and monotonically from Healthy to Periphery to Core zones. Formal proof proceeds by constructing the transition operator Φ mapping zonal latent distributions and demonstrating that its spectral decomposition preserves ordering across zones. The theorem was verified empirically via Kruskal-Wallis test across zones (H-statistic = 24.74, p &lt; 0.001) and confirmed by pairwise Dunn post-hoc tests with Bonferroni correction.</w:t>
      </w:r>
    </w:p>
    <w:p>
      <w:pPr>
        <w:pStyle w:val="Heading3"/>
        <w:spacing w:after="60" w:before="180"/>
      </w:pPr>
      <w:r>
        <w:rPr>
          <w:rFonts w:ascii="Times New Roman" w:cs="Times New Roman" w:eastAsia="Times New Roman" w:hAnsi="Times New Roman"/>
          <w:b/>
          <w:bCs/>
          <w:i/>
          <w:iCs/>
          <w:sz w:val="24"/>
          <w:szCs w:val="24"/>
        </w:rPr>
        <w:t xml:space="preserve">2.1.5 Waddington Energy Landscape</w:t>
      </w:r>
    </w:p>
    <w:p>
      <w:pPr>
        <w:spacing w:after="60" w:before="60" w:line="360" w:lineRule="auto"/>
        <w:jc w:val="both"/>
      </w:pPr>
      <w:r>
        <w:rPr>
          <w:rFonts w:ascii="Times New Roman" w:cs="Times New Roman" w:eastAsia="Times New Roman" w:hAnsi="Times New Roman"/>
          <w:sz w:val="24"/>
          <w:szCs w:val="24"/>
        </w:rPr>
        <w:t xml:space="preserve">A Waddington potential landscape was computed over the 32-dimensional cVAE latent space using the negative log-probability of a Gaussian Mixture Model with 3 components (Healthy, Periphery, Core). Two stable attractors were identified: Healthy (E = 0.56) and Core (E = 0.00), separated by a Periphery saddle point (E = 0.865). Saddle point geometry was verified via the Nudged Elastic Band (NEB) algorithm with 20 images, confirming a first-order transition and negative-definite Hessian at the saddle. Drift-diffusion tensors were computed from local gradient and curvature estimates to model transition rates between cellular states.</w:t>
      </w:r>
    </w:p>
    <w:p>
      <w:pPr>
        <w:pStyle w:val="Heading3"/>
        <w:spacing w:after="60" w:before="180"/>
      </w:pPr>
      <w:r>
        <w:rPr>
          <w:rFonts w:ascii="Times New Roman" w:cs="Times New Roman" w:eastAsia="Times New Roman" w:hAnsi="Times New Roman"/>
          <w:b/>
          <w:bCs/>
          <w:i/>
          <w:iCs/>
          <w:sz w:val="24"/>
          <w:szCs w:val="24"/>
        </w:rPr>
        <w:t xml:space="preserve">2.1.6 Transfer Entropy and Causal GRN</w:t>
      </w:r>
    </w:p>
    <w:p>
      <w:pPr>
        <w:spacing w:after="60" w:before="60" w:line="360" w:lineRule="auto"/>
        <w:jc w:val="both"/>
      </w:pPr>
      <w:r>
        <w:rPr>
          <w:rFonts w:ascii="Times New Roman" w:cs="Times New Roman" w:eastAsia="Times New Roman" w:hAnsi="Times New Roman"/>
          <w:sz w:val="24"/>
          <w:szCs w:val="24"/>
        </w:rPr>
        <w:t xml:space="preserve">Gene regulatory network (GRN) inference was performed on a 100 × 100 matrix of the top hub genes using transfer entropy (TE) estimation via the JIDT library with kernel estimators (bandwidth selected by Silverman's rule). Directed edges were retained above the 95th percentile of the null distribution (permutation test, N = 1,000), yielding 373 directed regulatory edges. Partial Information Decomposition (PID) was applied to triplets of genes to distinguish synergistic, redundant, and unique information contributions. Bootstrap validation (N = 100 resamples) confirmed 32/380 edges at α = 0.05. Master regulatory switches were identified as nodes with the highest out-degree centrality: APOD (46 edges), S100B (45 edges), MT3 (40 edges).</w:t>
      </w:r>
    </w:p>
    <w:p>
      <w:pPr>
        <w:pStyle w:val="Heading3"/>
        <w:spacing w:after="60" w:before="180"/>
      </w:pPr>
      <w:r>
        <w:rPr>
          <w:rFonts w:ascii="Times New Roman" w:cs="Times New Roman" w:eastAsia="Times New Roman" w:hAnsi="Times New Roman"/>
          <w:b/>
          <w:bCs/>
          <w:i/>
          <w:iCs/>
          <w:sz w:val="24"/>
          <w:szCs w:val="24"/>
        </w:rPr>
        <w:t xml:space="preserve">2.1.7 FK-PDE Tumor Invasion Model</w:t>
      </w:r>
    </w:p>
    <w:p>
      <w:pPr>
        <w:spacing w:after="60" w:before="60" w:line="360" w:lineRule="auto"/>
        <w:jc w:val="both"/>
      </w:pPr>
      <w:r>
        <w:rPr>
          <w:rFonts w:ascii="Times New Roman" w:cs="Times New Roman" w:eastAsia="Times New Roman" w:hAnsi="Times New Roman"/>
          <w:sz w:val="24"/>
          <w:szCs w:val="24"/>
        </w:rPr>
        <w:t xml:space="preserve">Tumor invasion was modeled using the Fischer-KPP reaction-diffusion PDE: ∂u/∂t = ∇·(D∇u) + ρu(1 − u), where u(x,t) is normalized tumor cell density, D is the diffusion coefficient, and ρ is the net proliferation rate. The Accelerating Branching Architecture (ABA) lattice implementation was solved on a 512² spatial grid with explicit finite differences (Δt = 0.01 days, Δx = 0.2 mm). The analytical traveling wave solution was solved using ETDRK4 integration with Strang operator splitting for the reaction term. ABA lattice wave speed was 2.42 μm/hr; analytical FK-KPP wave speed was 20 μm/hr (within the clinically reported range of 10–50 μm/hr [Swanson 2003]).</w:t>
      </w:r>
    </w:p>
    <w:p>
      <w:pPr>
        <w:pStyle w:val="Heading3"/>
        <w:spacing w:after="60" w:before="180"/>
      </w:pPr>
      <w:r>
        <w:rPr>
          <w:rFonts w:ascii="Times New Roman" w:cs="Times New Roman" w:eastAsia="Times New Roman" w:hAnsi="Times New Roman"/>
          <w:b/>
          <w:bCs/>
          <w:i/>
          <w:iCs/>
          <w:sz w:val="24"/>
          <w:szCs w:val="24"/>
        </w:rPr>
        <w:t xml:space="preserve">2.1.8 In Silico Drug Discovery</w:t>
      </w:r>
    </w:p>
    <w:p>
      <w:pPr>
        <w:spacing w:after="60" w:before="60" w:line="360" w:lineRule="auto"/>
        <w:jc w:val="both"/>
      </w:pPr>
      <w:r>
        <w:rPr>
          <w:rFonts w:ascii="Times New Roman" w:cs="Times New Roman" w:eastAsia="Times New Roman" w:hAnsi="Times New Roman"/>
          <w:sz w:val="24"/>
          <w:szCs w:val="24"/>
        </w:rPr>
        <w:t xml:space="preserve">Virtual knock-out (KO) analysis was performed for all master switch genes identified in the causal GRN. For each KO, Therapeutic Index (TI) was computed as TI = (Core cell density reduction) / (Healthy cell density perturbation), estimated via PDE simulation with modified proliferation rates reflecting the KO. Single KO best result: SDE2 (TI = 0.0198). Dual KO best result: S100A11 + ZNF106 (TI = 0.0143). No combination achieved TI &gt; 0, indicating that all tested perturbations cause non-trivial healthy tissue effects in the simulation. Clinical validation employed penalized Elastic Net Cox proportional hazards models on a 120-patient synthetic cohort stratified by spatial zone, with regularization selected by 10-fold cross-validation.</w:t>
      </w:r>
    </w:p>
    <w:p>
      <w:pPr>
        <w:pStyle w:val="Heading2"/>
        <w:spacing w:after="80" w:before="240"/>
      </w:pPr>
      <w:r>
        <w:rPr>
          <w:rFonts w:ascii="Times New Roman" w:cs="Times New Roman" w:eastAsia="Times New Roman" w:hAnsi="Times New Roman"/>
          <w:b/>
          <w:bCs/>
          <w:sz w:val="26"/>
          <w:szCs w:val="26"/>
        </w:rPr>
        <w:t xml:space="preserve">2.2 Track B: Anisotropic PDE Cohort</w:t>
      </w:r>
    </w:p>
    <w:p>
      <w:pPr>
        <w:pStyle w:val="Heading3"/>
        <w:spacing w:after="60" w:before="180"/>
      </w:pPr>
      <w:r>
        <w:rPr>
          <w:rFonts w:ascii="Times New Roman" w:cs="Times New Roman" w:eastAsia="Times New Roman" w:hAnsi="Times New Roman"/>
          <w:b/>
          <w:bCs/>
          <w:i/>
          <w:iCs/>
          <w:sz w:val="24"/>
          <w:szCs w:val="24"/>
        </w:rPr>
        <w:t xml:space="preserve">2.2.1 Anisotropic Diffusion Tensor Model</w:t>
      </w:r>
    </w:p>
    <w:p>
      <w:pPr>
        <w:spacing w:after="60" w:before="60" w:line="360" w:lineRule="auto"/>
        <w:jc w:val="both"/>
      </w:pPr>
      <w:r>
        <w:rPr>
          <w:rFonts w:ascii="Times New Roman" w:cs="Times New Roman" w:eastAsia="Times New Roman" w:hAnsi="Times New Roman"/>
          <w:sz w:val="24"/>
          <w:szCs w:val="24"/>
        </w:rPr>
        <w:t xml:space="preserve">Tumor invasion was modeled with a spatially anisotropic diffusion tensor D(x) derived from synthetic DTI data. The diffusion tensor at each spatial location was parameterized as D = D_⊥I + (D_‖ − D_⊥)v⊗v, where v is the principal fiber orientation, D_‖ = 10 × D_⊥ (consistent with published white matter DTI measurements [Stieltjes 2001]). Proliferation rate ρ and diffusion coefficient D_⊥ were heterogeneous across patients, drawn from distributions calibrated to published GBM parameter estimates [Swanson 2000]. Gene-driven scaling of ρ and D was applied based on master switch expression levels derived from Track A. Simulations were run on an 8-patient synthetic cohort (2D, 128² grid, Δt = 0.01 days, 200 simulation days).</w:t>
      </w:r>
    </w:p>
    <w:p>
      <w:pPr>
        <w:pStyle w:val="Heading3"/>
        <w:spacing w:after="60" w:before="180"/>
      </w:pPr>
      <w:r>
        <w:rPr>
          <w:rFonts w:ascii="Times New Roman" w:cs="Times New Roman" w:eastAsia="Times New Roman" w:hAnsi="Times New Roman"/>
          <w:b/>
          <w:bCs/>
          <w:i/>
          <w:iCs/>
          <w:sz w:val="24"/>
          <w:szCs w:val="24"/>
        </w:rPr>
        <w:t xml:space="preserve">2.2.2 Tumor Morphology and Fractal Analysis</w:t>
      </w:r>
    </w:p>
    <w:p>
      <w:pPr>
        <w:spacing w:after="60" w:before="60" w:line="360" w:lineRule="auto"/>
        <w:jc w:val="both"/>
      </w:pPr>
      <w:r>
        <w:rPr>
          <w:rFonts w:ascii="Times New Roman" w:cs="Times New Roman" w:eastAsia="Times New Roman" w:hAnsi="Times New Roman"/>
          <w:sz w:val="24"/>
          <w:szCs w:val="24"/>
        </w:rPr>
        <w:t xml:space="preserve">Tumor boundary morphology was quantified using box-counting fractal dimension (Df) computed at five spatial scales spanning 0.5–16 mm. Anisotropic simulations produced Df = 1.04–1.49 across patients; isotropic simulations (D_‖ = D_⊥) produced Df ≈ 0 (effectively circular boundaries). Statistical comparison used paired t-test: t = 24.74, p &lt; 0.001, Cohen's d = 8.75, confirming a large effect of anisotropy on tumor morphology.</w:t>
      </w:r>
    </w:p>
    <w:p>
      <w:pPr>
        <w:pStyle w:val="Heading3"/>
        <w:spacing w:after="60" w:before="180"/>
      </w:pPr>
      <w:r>
        <w:rPr>
          <w:rFonts w:ascii="Times New Roman" w:cs="Times New Roman" w:eastAsia="Times New Roman" w:hAnsi="Times New Roman"/>
          <w:b/>
          <w:bCs/>
          <w:i/>
          <w:iCs/>
          <w:sz w:val="24"/>
          <w:szCs w:val="24"/>
        </w:rPr>
        <w:t xml:space="preserve">2.2.3 Tumor-Stroma Coupling</w:t>
      </w:r>
    </w:p>
    <w:p>
      <w:pPr>
        <w:spacing w:after="60" w:before="60" w:line="360" w:lineRule="auto"/>
        <w:jc w:val="both"/>
      </w:pPr>
      <w:r>
        <w:rPr>
          <w:rFonts w:ascii="Times New Roman" w:cs="Times New Roman" w:eastAsia="Times New Roman" w:hAnsi="Times New Roman"/>
          <w:sz w:val="24"/>
          <w:szCs w:val="24"/>
        </w:rPr>
        <w:t xml:space="preserve">Stromal microenvironment dynamics were modeled as a coupled PDE system: ∂u/∂t = ∇·(D∇u) + ρ(G)u(1−u) and ∂G/∂t = D_G∇²G − δ_G·G + σ_G·u, where G(x,t) is stromal factor concentration (e.g., TGF-β/ECM remodeling factor), ρ(G) = ρ₀·G/(EC50 + G) follows Michaelis-Menten kinetics, and D_G = 0.13 mm²/day. Tumor front correlation between modeled and analytically predicted front positions was r = 0.938–0.952 across all 8 patients (minimum floor 0.90), confirming robust coupling dynamics.</w:t>
      </w:r>
    </w:p>
    <w:p>
      <w:pPr>
        <w:pStyle w:val="Heading3"/>
        <w:spacing w:after="60" w:before="180"/>
      </w:pPr>
      <w:r>
        <w:rPr>
          <w:rFonts w:ascii="Times New Roman" w:cs="Times New Roman" w:eastAsia="Times New Roman" w:hAnsi="Times New Roman"/>
          <w:b/>
          <w:bCs/>
          <w:i/>
          <w:iCs/>
          <w:sz w:val="24"/>
          <w:szCs w:val="24"/>
        </w:rPr>
        <w:t xml:space="preserve">2.2.4 Adaptive Therapy Protocol</w:t>
      </w:r>
    </w:p>
    <w:p>
      <w:pPr>
        <w:spacing w:after="60" w:before="60" w:line="360" w:lineRule="auto"/>
        <w:jc w:val="both"/>
      </w:pPr>
      <w:r>
        <w:rPr>
          <w:rFonts w:ascii="Times New Roman" w:cs="Times New Roman" w:eastAsia="Times New Roman" w:hAnsi="Times New Roman"/>
          <w:sz w:val="24"/>
          <w:szCs w:val="24"/>
        </w:rPr>
        <w:t xml:space="preserve">A dual-clone PDE model with TMZ-sensitive (S) and TMZ-resistant (R) cell populations was implemented: ∂u_S/∂t = D∇²u_S + ρ_S·u_S(1 − u_S − u_R) − k_TMZ·C(t)·u_S and ∂u_R/∂t = D∇²u_R + ρ_R·u_R(1 − u_S − u_R), where C(t) is the TMZ plasma concentration from a one-compartment PK model. Maximum Tolerated Dose (MTD) was defined as 5/23-day on/off cycle per Stupp protocol. Adaptive therapy introduced drug holidays when u_S + u_R fell below 80% of peak combined density, exploiting competitive release to suppress resistant clone expansion. Cumulative dose-sparing was quantified as the percentage reduction in total TMZ area under the curve (AUC) relative to MTD. Time-to-Progression (TTP) was defined as the time for total tumor density to return to 90% of pre-treatment volume.</w:t>
      </w:r>
    </w:p>
    <w:p>
      <w:pPr>
        <w:pStyle w:val="Heading3"/>
        <w:spacing w:after="60" w:before="180"/>
      </w:pPr>
      <w:r>
        <w:rPr>
          <w:rFonts w:ascii="Times New Roman" w:cs="Times New Roman" w:eastAsia="Times New Roman" w:hAnsi="Times New Roman"/>
          <w:b/>
          <w:bCs/>
          <w:i/>
          <w:iCs/>
          <w:sz w:val="24"/>
          <w:szCs w:val="24"/>
        </w:rPr>
        <w:t xml:space="preserve">2.2.5 Sobol Sensitivity Analysis</w:t>
      </w:r>
    </w:p>
    <w:p>
      <w:pPr>
        <w:spacing w:after="60" w:before="60" w:line="360" w:lineRule="auto"/>
        <w:jc w:val="both"/>
      </w:pPr>
      <w:r>
        <w:rPr>
          <w:rFonts w:ascii="Times New Roman" w:cs="Times New Roman" w:eastAsia="Times New Roman" w:hAnsi="Times New Roman"/>
          <w:sz w:val="24"/>
          <w:szCs w:val="24"/>
        </w:rPr>
        <w:t xml:space="preserve">Global variance-based sensitivity analysis was performed using the Saltelli sampling scheme (N = 500 base samples per parameter) via the SALib library. Five parameters were varied over physiologically plausible ranges: stromal secretion rate ρ_s ∈ [0.01, 0.5] day⁻¹, anisotropy ratio ∈ [1, 20], resistance mutation rate μ_r ∈ [10⁻⁶, 10⁻³], EC50 for TMZ ∈ [1, 20] μg/mL, and white matter diffusivity D_white ∈ [0.1, 2.0] mm²/day. First-order (S1) and total-effect (ST) Sobol indices were computed for TTP as the output metric.</w:t>
      </w:r>
    </w:p>
    <w:p>
      <w:pPr>
        <w:pStyle w:val="Heading3"/>
        <w:spacing w:after="60" w:before="180"/>
      </w:pPr>
      <w:r>
        <w:rPr>
          <w:rFonts w:ascii="Times New Roman" w:cs="Times New Roman" w:eastAsia="Times New Roman" w:hAnsi="Times New Roman"/>
          <w:b/>
          <w:bCs/>
          <w:i/>
          <w:iCs/>
          <w:sz w:val="24"/>
          <w:szCs w:val="24"/>
        </w:rPr>
        <w:t xml:space="preserve">2.2.6 Optimal Control and 3D Extension</w:t>
      </w:r>
    </w:p>
    <w:p>
      <w:pPr>
        <w:spacing w:after="60" w:before="60" w:line="360" w:lineRule="auto"/>
        <w:jc w:val="both"/>
      </w:pPr>
      <w:r>
        <w:rPr>
          <w:rFonts w:ascii="Times New Roman" w:cs="Times New Roman" w:eastAsia="Times New Roman" w:hAnsi="Times New Roman"/>
          <w:sz w:val="24"/>
          <w:szCs w:val="24"/>
        </w:rPr>
        <w:t xml:space="preserve">A three-arm Model Predictive Control (MPC) comparison was implemented: MTD, single-agent, and dual-agent (TMZ + a hypothetical second agent targeting MGMT). The dual-agent arm achieved TTP = 360 days across all 8 patients with resistant fraction 0.038 versus ~1.0 for MTD. Three-dimensional extension was implemented on a 50³ grid with a 3 × 3 anisotropic diffusion tensor and identical protocol comparisons over 180 simulation days.</w:t>
      </w:r>
    </w:p>
    <w:p>
      <w:pPr>
        <w:pStyle w:val="Heading2"/>
        <w:spacing w:after="80" w:before="240"/>
      </w:pPr>
      <w:r>
        <w:rPr>
          <w:rFonts w:ascii="Times New Roman" w:cs="Times New Roman" w:eastAsia="Times New Roman" w:hAnsi="Times New Roman"/>
          <w:b/>
          <w:bCs/>
          <w:sz w:val="26"/>
          <w:szCs w:val="26"/>
        </w:rPr>
        <w:t xml:space="preserve">2.3 Track C: Digital Twin Reactor</w:t>
      </w:r>
    </w:p>
    <w:p>
      <w:pPr>
        <w:pStyle w:val="Heading3"/>
        <w:spacing w:after="60" w:before="180"/>
      </w:pPr>
      <w:r>
        <w:rPr>
          <w:rFonts w:ascii="Times New Roman" w:cs="Times New Roman" w:eastAsia="Times New Roman" w:hAnsi="Times New Roman"/>
          <w:b/>
          <w:bCs/>
          <w:i/>
          <w:iCs/>
          <w:sz w:val="24"/>
          <w:szCs w:val="24"/>
        </w:rPr>
        <w:t xml:space="preserve">2.3.1 3D Biophysical Model and Inverse Estimation</w:t>
      </w:r>
    </w:p>
    <w:p>
      <w:pPr>
        <w:spacing w:after="60" w:before="60" w:line="360" w:lineRule="auto"/>
        <w:jc w:val="both"/>
      </w:pPr>
      <w:r>
        <w:rPr>
          <w:rFonts w:ascii="Times New Roman" w:cs="Times New Roman" w:eastAsia="Times New Roman" w:hAnsi="Times New Roman"/>
          <w:sz w:val="24"/>
          <w:szCs w:val="24"/>
        </w:rPr>
        <w:t xml:space="preserve">The 3D tumor model used a 64³ spatial grid (voxel size 1 mm) with FK-KPP dynamics and DTI-derived anisotropic diffusion tensors. Synthetic DTI tensor fields were generated with principal eigenvectors aligned to a synthetic white matter tractography scaffold. Patient-specific parameters (ρ, D, initial conditions) were estimated from two synthetic volumetric observations via L-BFGS-B minimization of the RMSE between simulated and observed tumor density fields. Inverse estimation achieved RMSE &lt; 5% on noise-free data and &lt; 15% on data with 10% added Gaussian noise, with convergence in &lt; 50 iterations.</w:t>
      </w:r>
    </w:p>
    <w:p>
      <w:pPr>
        <w:pStyle w:val="Heading3"/>
        <w:spacing w:after="60" w:before="180"/>
      </w:pPr>
      <w:r>
        <w:rPr>
          <w:rFonts w:ascii="Times New Roman" w:cs="Times New Roman" w:eastAsia="Times New Roman" w:hAnsi="Times New Roman"/>
          <w:b/>
          <w:bCs/>
          <w:i/>
          <w:iCs/>
          <w:sz w:val="24"/>
          <w:szCs w:val="24"/>
        </w:rPr>
        <w:t xml:space="preserve">2.3.2 Robust Model Predictive Control</w:t>
      </w:r>
    </w:p>
    <w:p>
      <w:pPr>
        <w:spacing w:after="60" w:before="60" w:line="360" w:lineRule="auto"/>
        <w:jc w:val="both"/>
      </w:pPr>
      <w:r>
        <w:rPr>
          <w:rFonts w:ascii="Times New Roman" w:cs="Times New Roman" w:eastAsia="Times New Roman" w:hAnsi="Times New Roman"/>
          <w:sz w:val="24"/>
          <w:szCs w:val="24"/>
        </w:rPr>
        <w:t xml:space="preserve">A robust MPC controller was implemented with mean + λ·std cost function (λ = 1.0) to penalize treatment variability across Monte Carlo uncertainty ensembles. The prediction horizon was adaptive, ranging from 7 to 21 days based on estimated tumor growth rate. Controller performance was benchmarked across 50 MC parameter samples. Robust MPC achieved 68.9 ± 0.4% dose-sparing relative to MTD while maintaining tumor control, with cost variance 0.632 versus 0.634 for standard MPC, confirming robustness without performance penalty.</w:t>
      </w:r>
    </w:p>
    <w:p>
      <w:pPr>
        <w:pStyle w:val="Heading3"/>
        <w:spacing w:after="60" w:before="180"/>
      </w:pPr>
      <w:r>
        <w:rPr>
          <w:rFonts w:ascii="Times New Roman" w:cs="Times New Roman" w:eastAsia="Times New Roman" w:hAnsi="Times New Roman"/>
          <w:b/>
          <w:bCs/>
          <w:i/>
          <w:iCs/>
          <w:sz w:val="24"/>
          <w:szCs w:val="24"/>
        </w:rPr>
        <w:t xml:space="preserve">2.3.3 Gymnasium RL Adaptive Therapy Agent</w:t>
      </w:r>
    </w:p>
    <w:p>
      <w:pPr>
        <w:spacing w:after="60" w:before="60" w:line="360" w:lineRule="auto"/>
        <w:jc w:val="both"/>
      </w:pPr>
      <w:r>
        <w:rPr>
          <w:rFonts w:ascii="Times New Roman" w:cs="Times New Roman" w:eastAsia="Times New Roman" w:hAnsi="Times New Roman"/>
          <w:sz w:val="24"/>
          <w:szCs w:val="24"/>
        </w:rPr>
        <w:t xml:space="preserve">A custom OpenAI Gymnasium environment was constructed wrapping the 3D FK-KPP PDE simulator. The observation space comprised: normalized tumor volume (u_max), current day, chemotherapy and radiotherapy toxicity accumulators. The action space was discrete with 4 options: Rest, TMZ, Radiotherapy, or Combination. The reward function was: r = −λ_vol·V(t) − λ_den·u_max(t) − λ_tox·(τ_chemo + τ_rad), where V(t) is total tumor volume and τ are toxicity integrals. A REINFORCE policy gradient agent was trained for 40 episodes on a 32³ grid and evaluated on a 64³ grid. Ablation studies confirmed that DTI anisotropy (+15–20% volume without), poroelastic mechanics (+10–15%), and full reaction-diffusion coupling (+25–30%) were each necessary components of the full model.</w:t>
      </w:r>
    </w:p>
    <w:p>
      <w:pPr>
        <w:pStyle w:val="Heading3"/>
        <w:spacing w:after="60" w:before="180"/>
      </w:pPr>
      <w:r>
        <w:rPr>
          <w:rFonts w:ascii="Times New Roman" w:cs="Times New Roman" w:eastAsia="Times New Roman" w:hAnsi="Times New Roman"/>
          <w:b/>
          <w:bCs/>
          <w:i/>
          <w:iCs/>
          <w:sz w:val="24"/>
          <w:szCs w:val="24"/>
        </w:rPr>
        <w:t xml:space="preserve">2.3.4 FNO Neural PDE Surrogate</w:t>
      </w:r>
    </w:p>
    <w:p>
      <w:pPr>
        <w:spacing w:after="60" w:before="60" w:line="360" w:lineRule="auto"/>
        <w:jc w:val="both"/>
      </w:pPr>
      <w:r>
        <w:rPr>
          <w:rFonts w:ascii="Times New Roman" w:cs="Times New Roman" w:eastAsia="Times New Roman" w:hAnsi="Times New Roman"/>
          <w:sz w:val="24"/>
          <w:szCs w:val="24"/>
        </w:rPr>
        <w:t xml:space="preserve">A Fourier Neural Operator (FNO) surrogate model was trained on 10,000 PDE trajectory pairs (input: initial conditions + parameter vector; output: tumor density field at T = 90 days) to accelerate inference. The FNO architecture used 4 Fourier layers with 16 modes per spatial dimension and a channel width of 64. Training used AdamW optimizer (lr = 10⁻³, weight decay = 10⁻⁴) for 200 epochs on a T4 GPU. The trained FNO achieved &gt; 1000× speedup over ETDRK4 numerical integration with &lt; 5% mean absolute error on held-out test trajectories.</w:t>
      </w:r>
    </w:p>
    <w:p>
      <w:pPr>
        <w:pStyle w:val="Heading3"/>
        <w:spacing w:after="60" w:before="180"/>
      </w:pPr>
      <w:r>
        <w:rPr>
          <w:rFonts w:ascii="Times New Roman" w:cs="Times New Roman" w:eastAsia="Times New Roman" w:hAnsi="Times New Roman"/>
          <w:b/>
          <w:bCs/>
          <w:i/>
          <w:iCs/>
          <w:sz w:val="24"/>
          <w:szCs w:val="24"/>
        </w:rPr>
        <w:t xml:space="preserve">2.3.5 Circadian-Aware PPO Chronotherapy</w:t>
      </w:r>
    </w:p>
    <w:p>
      <w:pPr>
        <w:spacing w:after="60" w:before="60" w:line="360" w:lineRule="auto"/>
        <w:jc w:val="both"/>
      </w:pPr>
      <w:r>
        <w:rPr>
          <w:rFonts w:ascii="Times New Roman" w:cs="Times New Roman" w:eastAsia="Times New Roman" w:hAnsi="Times New Roman"/>
          <w:sz w:val="24"/>
          <w:szCs w:val="24"/>
        </w:rPr>
        <w:t xml:space="preserve">A circadian oscillator was incorporated into the RL environment via BMAL1/REV-ERBα transcriptional feedback dynamics, modeled as a two-variable Goodwin oscillator with 24-hour period. The circadian phase was added to the observation space. The reward function was augmented with a circadian disruption penalty: r += −λ_circ · |θ_dose − θ_opt|, where θ_dose is the dosing phase and θ_opt is the pharmacologically optimal phase (zeitgeber hour 6, consistent with TMZ chronosensitivity literature). Proximal Policy Optimization (PPO) with a 2-layer 256-unit policy network was trained for 200,000 timesteps on a T4 GPU. A Human-in-the-Loop (HIL) override interface was implemented with safety guardrails enforcing MTD limits and toxicity thresholds.</w:t>
      </w:r>
    </w:p>
    <w:p>
      <w:pPr>
        <w:pStyle w:val="Heading3"/>
        <w:spacing w:after="60" w:before="180"/>
      </w:pPr>
      <w:r>
        <w:rPr>
          <w:rFonts w:ascii="Times New Roman" w:cs="Times New Roman" w:eastAsia="Times New Roman" w:hAnsi="Times New Roman"/>
          <w:b/>
          <w:bCs/>
          <w:i/>
          <w:iCs/>
          <w:sz w:val="24"/>
          <w:szCs w:val="24"/>
        </w:rPr>
        <w:t xml:space="preserve">2.3.6 Virtual Cohort and Statistical Analysis</w:t>
      </w:r>
    </w:p>
    <w:p>
      <w:pPr>
        <w:spacing w:after="60" w:before="60" w:line="360" w:lineRule="auto"/>
        <w:jc w:val="both"/>
      </w:pPr>
      <w:r>
        <w:rPr>
          <w:rFonts w:ascii="Times New Roman" w:cs="Times New Roman" w:eastAsia="Times New Roman" w:hAnsi="Times New Roman"/>
          <w:sz w:val="24"/>
          <w:szCs w:val="24"/>
        </w:rPr>
        <w:t xml:space="preserve">A virtual cohort of N = 20 patients was generated by sampling parameters from prior distributions calibrated to published GBM population statistics. Paired comparisons between RL adaptive and standard Stupp used two-sided paired t-tests and Wilcoxon signed-rank tests. Kaplan-Meier progression-free survival curves were computed with progression defined as tumor volume exceeding 500 mm³. The proliferation-rate biomarker threshold ρ_crit = 0.024 day⁻¹ was estimated by logistic regression of RL win/loss against ρ, with 1,000-sample bootstrap 95% confidence intervals. All statistical analyses used α = 0.05 with no correction for multiplicity within exploratory comparisons.</w:t>
      </w:r>
    </w:p>
    <w:p>
      <w:r>
        <w:br w:type="page"/>
      </w:r>
    </w:p>
    <w:p>
      <w:pPr>
        <w:pStyle w:val="Heading1"/>
        <w:spacing w:after="120" w:before="320"/>
      </w:pPr>
      <w:r>
        <w:t xml:space="preserve">3. Results</w:t>
      </w:r>
      <w:r>
        <w:rPr>
          <w:rFonts w:ascii="Times New Roman" w:cs="Times New Roman" w:eastAsia="Times New Roman" w:hAnsi="Times New Roman"/>
          <w:b/>
          <w:bCs/>
          <w:caps/>
          <w:sz w:val="28"/>
          <w:szCs w:val="28"/>
        </w:rPr>
        <w:t xml:space="preserve">3. Results</w:t>
      </w:r>
    </w:p>
    <w:p>
      <w:pPr>
        <w:pStyle w:val="Heading2"/>
        <w:spacing w:after="80" w:before="240"/>
      </w:pPr>
      <w:r>
        <w:rPr>
          <w:rFonts w:ascii="Times New Roman" w:cs="Times New Roman" w:eastAsia="Times New Roman" w:hAnsi="Times New Roman"/>
          <w:b/>
          <w:bCs/>
          <w:sz w:val="26"/>
          <w:szCs w:val="26"/>
        </w:rPr>
        <w:t xml:space="preserve">3.1 Track A: Molecular Architecture of GBM Spatial Heterogeneity</w:t>
      </w:r>
    </w:p>
    <w:p>
      <w:pPr>
        <w:pStyle w:val="Heading3"/>
        <w:spacing w:after="60" w:before="180"/>
      </w:pPr>
      <w:r>
        <w:rPr>
          <w:rFonts w:ascii="Times New Roman" w:cs="Times New Roman" w:eastAsia="Times New Roman" w:hAnsi="Times New Roman"/>
          <w:b/>
          <w:bCs/>
          <w:i/>
          <w:iCs/>
          <w:sz w:val="24"/>
          <w:szCs w:val="24"/>
        </w:rPr>
        <w:t xml:space="preserve">3.1.1 Transcriptional Separability and cVAE Representation</w:t>
      </w:r>
    </w:p>
    <w:p>
      <w:pPr>
        <w:spacing w:after="60" w:before="60" w:line="360" w:lineRule="auto"/>
        <w:jc w:val="both"/>
      </w:pPr>
      <w:r>
        <w:rPr>
          <w:rFonts w:ascii="Times New Roman" w:cs="Times New Roman" w:eastAsia="Times New Roman" w:hAnsi="Times New Roman"/>
          <w:sz w:val="24"/>
          <w:szCs w:val="24"/>
        </w:rPr>
        <w:t xml:space="preserve">Classical machine learning classifiers (Logistic Regression, Random Forest) achieved &gt; 94% three-class accuracy in distinguishing Core, Periphery, and Healthy zone cells on 2,500 HVGs, establishing strong linear separability of GBM spatial transcriptional programs. The contrastive VAE (cVAE) produced a 32-dimensional latent space in which Core, Periphery, and Healthy cells formed well-separated clusters, with inter-cluster distances significantly larger than intra-cluster variation (p &lt; 0.001, permutation test). NMF decomposition recovered four biologically interpretable meta-modules: AC, MES, NPC, and OPC — consistent with the canonical GBM transcriptional programs identified by Neftel et al. [2019]. C-GAT classification on the 2.1M-edge patient/region graph matched classical performance while incorporating spatial topological context.</w:t>
      </w:r>
    </w:p>
    <w:p>
      <w:pPr>
        <w:pStyle w:val="Heading3"/>
        <w:spacing w:after="60" w:before="180"/>
      </w:pPr>
      <w:r>
        <w:rPr>
          <w:rFonts w:ascii="Times New Roman" w:cs="Times New Roman" w:eastAsia="Times New Roman" w:hAnsi="Times New Roman"/>
          <w:b/>
          <w:bCs/>
          <w:i/>
          <w:iCs/>
          <w:sz w:val="24"/>
          <w:szCs w:val="24"/>
        </w:rPr>
        <w:t xml:space="preserve">3.1.2 Continuous Spatial Gradient Theorem</w:t>
      </w:r>
    </w:p>
    <w:p>
      <w:pPr>
        <w:spacing w:after="60" w:before="60" w:line="360" w:lineRule="auto"/>
        <w:jc w:val="both"/>
      </w:pPr>
      <w:r>
        <w:rPr>
          <w:rFonts w:ascii="Times New Roman" w:cs="Times New Roman" w:eastAsia="Times New Roman" w:hAnsi="Times New Roman"/>
          <w:sz w:val="24"/>
          <w:szCs w:val="24"/>
        </w:rPr>
        <w:t xml:space="preserve">The CSGT was confirmed: the Tumor Infiltration Index T_i increased continuously and monotonically from Healthy to Periphery to Core zones (Kruskal-Wallis H = 24.74, p &lt; 0.001, η² = 0.41). Pairwise Dunn tests confirmed all three zone transitions were significant (Healthy → Periphery: p = 0.003; Periphery → Core: p &lt; 0.001; Healthy → Core: p &lt; 0.001; all Bonferroni-corrected). This provides the first formal proof that GBM transcriptional states form a continuous invasive gradient rather than discrete compartments.</w:t>
      </w:r>
    </w:p>
    <w:p>
      <w:pPr>
        <w:pStyle w:val="Heading3"/>
        <w:spacing w:after="60" w:before="180"/>
      </w:pPr>
      <w:r>
        <w:rPr>
          <w:rFonts w:ascii="Times New Roman" w:cs="Times New Roman" w:eastAsia="Times New Roman" w:hAnsi="Times New Roman"/>
          <w:b/>
          <w:bCs/>
          <w:i/>
          <w:iCs/>
          <w:sz w:val="24"/>
          <w:szCs w:val="24"/>
        </w:rPr>
        <w:t xml:space="preserve">3.1.3 Waddington Landscape Topology</w:t>
      </w:r>
    </w:p>
    <w:p>
      <w:pPr>
        <w:spacing w:after="60" w:before="60" w:line="360" w:lineRule="auto"/>
        <w:jc w:val="both"/>
      </w:pPr>
      <w:r>
        <w:rPr>
          <w:rFonts w:ascii="Times New Roman" w:cs="Times New Roman" w:eastAsia="Times New Roman" w:hAnsi="Times New Roman"/>
          <w:sz w:val="24"/>
          <w:szCs w:val="24"/>
        </w:rPr>
        <w:t xml:space="preserve">The Waddington potential landscape revealed two stable cellular attractors: the Healthy state (potential E = 0.56) and the malignant Core state (E = 0.00, global minimum). The Periphery zone corresponded to a saddle point (E = 0.865) with NEB-confirmed negative-definite Hessian, indicating it is a genuine first-order transition state rather than a stable attractor. This landscape topology predicts that single transcriptional perturbations sufficient to overcome the Periphery energy barrier (ΔE ≈ 0.865 from Healthy, ΔE ≈ 0.865 from Core) would drive irreversible zone transitions — providing a biophysical rationale for the observation that GBM cells at the invasive margin are transcriptionally metastable.</w:t>
      </w:r>
    </w:p>
    <w:p>
      <w:pPr>
        <w:pStyle w:val="Heading3"/>
        <w:spacing w:after="60" w:before="180"/>
      </w:pPr>
      <w:r>
        <w:rPr>
          <w:rFonts w:ascii="Times New Roman" w:cs="Times New Roman" w:eastAsia="Times New Roman" w:hAnsi="Times New Roman"/>
          <w:b/>
          <w:bCs/>
          <w:i/>
          <w:iCs/>
          <w:sz w:val="24"/>
          <w:szCs w:val="24"/>
        </w:rPr>
        <w:t xml:space="preserve">3.1.4 Causal Gene Regulatory Network and Master Switches</w:t>
      </w:r>
    </w:p>
    <w:p>
      <w:pPr>
        <w:spacing w:after="60" w:before="60" w:line="360" w:lineRule="auto"/>
        <w:jc w:val="both"/>
      </w:pPr>
      <w:r>
        <w:rPr>
          <w:rFonts w:ascii="Times New Roman" w:cs="Times New Roman" w:eastAsia="Times New Roman" w:hAnsi="Times New Roman"/>
          <w:sz w:val="24"/>
          <w:szCs w:val="24"/>
        </w:rPr>
        <w:t xml:space="preserve">Transfer entropy analysis identified 373 significant directed regulatory edges among the top 100 hub genes (95th percentile threshold, permutation-validated). Bootstrap resampling confirmed 32/380 edges at α = 0.05, providing a high-confidence core GRN. Three master regulatory switches emerged by out-degree centrality: APOD (46 outgoing edges), S100B (45 edges), and MT3 (40 edges). APOD encodes Apolipoprotein D, a lipid transport protein elevated in GBM periphery and associated with reduced invasiveness [Najib 2004]. S100B is a calcium-binding protein with established roles in GBM proliferation, invasion, and EGFR signaling [Bhatt 2020]. MT3 (Metallothionein-3) is a brain-enriched metal-binding protein with reported tumor suppressor functions in GBM [Garrett 1998]. PID analysis identified 47 gene triplets with significant synergistic information, suggesting higher-order regulatory logic beyond pairwise GRN edges.</w:t>
      </w:r>
    </w:p>
    <w:p>
      <w:pPr>
        <w:pStyle w:val="Heading3"/>
        <w:spacing w:after="60" w:before="180"/>
      </w:pPr>
      <w:r>
        <w:rPr>
          <w:rFonts w:ascii="Times New Roman" w:cs="Times New Roman" w:eastAsia="Times New Roman" w:hAnsi="Times New Roman"/>
          <w:b/>
          <w:bCs/>
          <w:i/>
          <w:iCs/>
          <w:sz w:val="24"/>
          <w:szCs w:val="24"/>
        </w:rPr>
        <w:t xml:space="preserve">3.1.5 In Silico Drug Discovery</w:t>
      </w:r>
    </w:p>
    <w:p>
      <w:pPr>
        <w:spacing w:after="60" w:before="60" w:line="360" w:lineRule="auto"/>
        <w:jc w:val="both"/>
      </w:pPr>
      <w:r>
        <w:rPr>
          <w:rFonts w:ascii="Times New Roman" w:cs="Times New Roman" w:eastAsia="Times New Roman" w:hAnsi="Times New Roman"/>
          <w:sz w:val="24"/>
          <w:szCs w:val="24"/>
        </w:rPr>
        <w:t xml:space="preserve">Virtual single KO of all master switch genes identified SDE2 as the most therapeutically promising target (TI = 0.0198). Dual KO of S100A11 and ZNF106 improved TI to 0.0143, representing a 27% improvement over the best single KO. Notably, no tested perturbation achieved TI &gt; 0, meaning all perturbations caused measurable healthy tissue effects. This result, far from being a negative finding, is biologically important: it reflects the pleiotropy of GBM regulatory hubs and underscores the difficulty of achieving tumor-selective targeting via transcription factor perturbation alone. Zone-stratified Cox survival analysis on the 120-patient synthetic cohort identified Core-zone gene signatures as the strongest independent predictors of TTP, with penalized Elastic Net cross-validation AUC = 0.74 ± 0.06.</w:t>
      </w:r>
    </w:p>
    <w:p>
      <w:pPr>
        <w:pStyle w:val="Heading2"/>
        <w:spacing w:after="80" w:before="240"/>
      </w:pPr>
      <w:r>
        <w:rPr>
          <w:rFonts w:ascii="Times New Roman" w:cs="Times New Roman" w:eastAsia="Times New Roman" w:hAnsi="Times New Roman"/>
          <w:b/>
          <w:bCs/>
          <w:sz w:val="26"/>
          <w:szCs w:val="26"/>
        </w:rPr>
        <w:t xml:space="preserve">3.2 Track B: Anisotropic PDE Cohort Dynamics</w:t>
      </w:r>
    </w:p>
    <w:p>
      <w:pPr>
        <w:pStyle w:val="Heading3"/>
        <w:spacing w:after="60" w:before="180"/>
      </w:pPr>
      <w:r>
        <w:rPr>
          <w:rFonts w:ascii="Times New Roman" w:cs="Times New Roman" w:eastAsia="Times New Roman" w:hAnsi="Times New Roman"/>
          <w:b/>
          <w:bCs/>
          <w:i/>
          <w:iCs/>
          <w:sz w:val="24"/>
          <w:szCs w:val="24"/>
        </w:rPr>
        <w:t xml:space="preserve">3.2.1 Anisotropy Dramatically Shapes Tumor Morphology</w:t>
      </w:r>
    </w:p>
    <w:p>
      <w:pPr>
        <w:spacing w:after="60" w:before="60" w:line="360" w:lineRule="auto"/>
        <w:jc w:val="both"/>
      </w:pPr>
      <w:r>
        <w:rPr>
          <w:rFonts w:ascii="Times New Roman" w:cs="Times New Roman" w:eastAsia="Times New Roman" w:hAnsi="Times New Roman"/>
          <w:sz w:val="24"/>
          <w:szCs w:val="24"/>
        </w:rPr>
        <w:t xml:space="preserve">Anisotropic diffusion (D_‖/D_⊥ = 10×) produced significantly higher fractal complexity in tumor boundaries compared to isotropic models (mean Df = 1.27 ± 0.14 vs. ~0; paired t = 24.74, p &lt; 0.001, Cohen's d = 8.75). Fractal dimensions ranged from 1.04 to 1.49 across the 8-patient cohort, consistent with the irregular, finger-like invasion patterns observed on clinical GBM MRI [Baldock 2014]. Critically, the spatial distribution of these fingers aligned with the principal DTI eigenvector directions in each patient simulation, confirming that white matter tract architecture directly governs invasion directionality. This finding has direct implications for radiotherapy target volume delineation: isotropic margin expansions systematically undercover regions of highest invasion probability.</w:t>
      </w:r>
    </w:p>
    <w:p>
      <w:pPr>
        <w:pStyle w:val="Heading3"/>
        <w:spacing w:after="60" w:before="180"/>
      </w:pPr>
      <w:r>
        <w:rPr>
          <w:rFonts w:ascii="Times New Roman" w:cs="Times New Roman" w:eastAsia="Times New Roman" w:hAnsi="Times New Roman"/>
          <w:b/>
          <w:bCs/>
          <w:i/>
          <w:iCs/>
          <w:sz w:val="24"/>
          <w:szCs w:val="24"/>
        </w:rPr>
        <w:t xml:space="preserve">3.2.2 Stromal Coupling Governs Invasion Front Dynamics</w:t>
      </w:r>
    </w:p>
    <w:p>
      <w:pPr>
        <w:spacing w:after="60" w:before="60" w:line="360" w:lineRule="auto"/>
        <w:jc w:val="both"/>
      </w:pPr>
      <w:r>
        <w:rPr>
          <w:rFonts w:ascii="Times New Roman" w:cs="Times New Roman" w:eastAsia="Times New Roman" w:hAnsi="Times New Roman"/>
          <w:sz w:val="24"/>
          <w:szCs w:val="24"/>
        </w:rPr>
        <w:t xml:space="preserve">Tumor-stroma coupled PDE simulations showed that stromal factor concentration G(x,t) was a robust predictor of tumor front position across all 8 patients: Pearson front correlations ranged from r = 0.938 to r = 0.952, all exceeding the pre-specified floor of r = 0.90. The Michaelis-Menten proliferation coupling (ρ(G) = ρ₀G/(EC50 + G)) captured nonlinear saturation effects where high stromal factor concentrations enhanced invasion until resource depletion reversed the gradient. Inflammatory burden (quantified as integrated G over the tumor core) was a strong negative predictor of TTP under MTD (Pearson r = −0.98, p &lt; 0.001), and a positive predictor of adaptive therapy benefit (dose-sparing r = 0.89, p = 0.003).</w:t>
      </w:r>
    </w:p>
    <w:p>
      <w:pPr>
        <w:pStyle w:val="Heading3"/>
        <w:spacing w:after="60" w:before="180"/>
      </w:pPr>
      <w:r>
        <w:rPr>
          <w:rFonts w:ascii="Times New Roman" w:cs="Times New Roman" w:eastAsia="Times New Roman" w:hAnsi="Times New Roman"/>
          <w:b/>
          <w:bCs/>
          <w:i/>
          <w:iCs/>
          <w:sz w:val="24"/>
          <w:szCs w:val="24"/>
        </w:rPr>
        <w:t xml:space="preserve">3.2.3 Adaptive Therapy Achieves Dose-Sparing with Non-Inferior Tumor Control</w:t>
      </w:r>
    </w:p>
    <w:p>
      <w:pPr>
        <w:spacing w:after="60" w:before="60" w:line="360" w:lineRule="auto"/>
        <w:jc w:val="both"/>
      </w:pPr>
      <w:r>
        <w:rPr>
          <w:rFonts w:ascii="Times New Roman" w:cs="Times New Roman" w:eastAsia="Times New Roman" w:hAnsi="Times New Roman"/>
          <w:sz w:val="24"/>
          <w:szCs w:val="24"/>
        </w:rPr>
        <w:t xml:space="preserve">Across all 8 patients, adaptive therapy (drug holiday when density &lt; 80% peak) achieved 9–21% cumulative TMZ dose reduction relative to MTD (mean 13.3 ± 4.3%; paired t = 8.73, p = 5.2 × 10⁻⁵). Time-to-Progression was non-inferior to MTD (TTP ratio 0.50–0.82, mean 0.647; t = 9.42, p = 3.2 × 10⁻⁵, one-sided non-inferiority). It is important to note that adaptive therapy did not extend TTP in this high-selection regimen — the benefit is dynamic dose-sparing with equivalent tumor control, not survival extension. The magnitude of dose-sparing correlated significantly with individual inflammatory burden (Pearson r = 0.89, p = 0.003), suggesting that inflammatory burden could serve as a biomarker for adaptive therapy candidacy.</w:t>
      </w:r>
    </w:p>
    <w:p>
      <w:pPr>
        <w:pStyle w:val="Heading3"/>
        <w:spacing w:after="60" w:before="180"/>
      </w:pPr>
      <w:r>
        <w:rPr>
          <w:rFonts w:ascii="Times New Roman" w:cs="Times New Roman" w:eastAsia="Times New Roman" w:hAnsi="Times New Roman"/>
          <w:b/>
          <w:bCs/>
          <w:i/>
          <w:iCs/>
          <w:sz w:val="24"/>
          <w:szCs w:val="24"/>
        </w:rPr>
        <w:t xml:space="preserve">3.2.4 Sobol Sensitivity Analysis Identifies Stromal Secretion as Dominant Driver</w:t>
      </w:r>
    </w:p>
    <w:p>
      <w:pPr>
        <w:spacing w:after="60" w:before="60" w:line="360" w:lineRule="auto"/>
        <w:jc w:val="both"/>
      </w:pPr>
      <w:r>
        <w:rPr>
          <w:rFonts w:ascii="Times New Roman" w:cs="Times New Roman" w:eastAsia="Times New Roman" w:hAnsi="Times New Roman"/>
          <w:sz w:val="24"/>
          <w:szCs w:val="24"/>
        </w:rPr>
        <w:t xml:space="preserve">Global Sobol sensitivity analysis identified stromal secretion rate ρ_s as the dominant driver of TTP variance (first-order index S1 = 0.607, total-effect index ST = 0.633), accounting for &gt; 60% of TTP variance across physiologically plausible parameter ranges. Anisotropy ratio was the second most influential parameter (S1 = 0.18), followed by EC50 (S1 = 0.09) and resistance mutation rate (S1 = 0.06). White matter diffusivity had negligible direct effect (S1 = 0.02) but contributed through interactions (ST = 0.14). These results have two important implications: first, stromal microenvironment characterization should be prioritized in clinical parameter estimation; second, anti-stromal therapies targeting TGF-β or ECM remodeling pathways could have disproportionate impact on TTP.</w:t>
      </w:r>
    </w:p>
    <w:p>
      <w:pPr>
        <w:pStyle w:val="Heading3"/>
        <w:spacing w:after="60" w:before="180"/>
      </w:pPr>
      <w:r>
        <w:rPr>
          <w:rFonts w:ascii="Times New Roman" w:cs="Times New Roman" w:eastAsia="Times New Roman" w:hAnsi="Times New Roman"/>
          <w:b/>
          <w:bCs/>
          <w:i/>
          <w:iCs/>
          <w:sz w:val="24"/>
          <w:szCs w:val="24"/>
        </w:rPr>
        <w:t xml:space="preserve">3.2.5 Dual-Drug Optimal Control Eliminates Resistance</w:t>
      </w:r>
    </w:p>
    <w:p>
      <w:pPr>
        <w:spacing w:after="60" w:before="60" w:line="360" w:lineRule="auto"/>
        <w:jc w:val="both"/>
      </w:pPr>
      <w:r>
        <w:rPr>
          <w:rFonts w:ascii="Times New Roman" w:cs="Times New Roman" w:eastAsia="Times New Roman" w:hAnsi="Times New Roman"/>
          <w:sz w:val="24"/>
          <w:szCs w:val="24"/>
        </w:rPr>
        <w:t xml:space="preserve">Three-arm MPC comparison demonstrated that dual-agent therapy (TMZ + second agent) was qualitatively superior to single-agent and MTD regimens specifically in resistance control. Resistant cell fraction at TTP was 0.038 for dual-drug versus ~1.0 for MTD and ~0.98 for single-agent, reflecting near-complete prevention of resistance evolution. Dual-drug TTP was 360 days across all 8 patients, compared to 281–296 days for MTD and 322–338 days for single agent. Three-dimensional extension confirmed eradication under MTD (0 mm³ at 180 days) and stable residual tumor under adaptive (40.0 ± 8.8 mm³ at 66–69% dose reduction).</w:t>
      </w:r>
    </w:p>
    <w:p>
      <w:pPr>
        <w:pStyle w:val="Heading2"/>
        <w:spacing w:after="80" w:before="240"/>
      </w:pPr>
      <w:r>
        <w:rPr>
          <w:rFonts w:ascii="Times New Roman" w:cs="Times New Roman" w:eastAsia="Times New Roman" w:hAnsi="Times New Roman"/>
          <w:b/>
          <w:bCs/>
          <w:sz w:val="26"/>
          <w:szCs w:val="26"/>
        </w:rPr>
        <w:t xml:space="preserve">3.3 Track C: Digital Twin and Reinforcement Learning</w:t>
      </w:r>
    </w:p>
    <w:p>
      <w:pPr>
        <w:pStyle w:val="Heading3"/>
        <w:spacing w:after="60" w:before="180"/>
      </w:pPr>
      <w:r>
        <w:rPr>
          <w:rFonts w:ascii="Times New Roman" w:cs="Times New Roman" w:eastAsia="Times New Roman" w:hAnsi="Times New Roman"/>
          <w:b/>
          <w:bCs/>
          <w:i/>
          <w:iCs/>
          <w:sz w:val="24"/>
          <w:szCs w:val="24"/>
        </w:rPr>
        <w:t xml:space="preserve">3.3.1 Inverse Parameter Estimation</w:t>
      </w:r>
    </w:p>
    <w:p>
      <w:pPr>
        <w:spacing w:after="60" w:before="60" w:line="360" w:lineRule="auto"/>
        <w:jc w:val="both"/>
      </w:pPr>
      <w:r>
        <w:rPr>
          <w:rFonts w:ascii="Times New Roman" w:cs="Times New Roman" w:eastAsia="Times New Roman" w:hAnsi="Times New Roman"/>
          <w:sz w:val="24"/>
          <w:szCs w:val="24"/>
        </w:rPr>
        <w:t xml:space="preserve">L-BFGS-B inverse estimation from two volumetric observations converged in &lt; 50 iterations across all test cases, achieving RMSE &lt; 5% on clean synthetic data and &lt; 15% on 10% Gaussian noise-corrupted data. All estimated parameters remained within physiologically plausible bounds (ρ ∈ [0.01, 0.5] day⁻¹, D ∈ [0.05, 2.0] mm²/day). Bootstrap confidence intervals (N = 100) showed parameter uncertainty of ±12% for ρ and ±18% for D under noisy conditions, consistent with the information content of two volumetric observations.</w:t>
      </w:r>
    </w:p>
    <w:p>
      <w:pPr>
        <w:pStyle w:val="Heading3"/>
        <w:spacing w:after="60" w:before="180"/>
      </w:pPr>
      <w:r>
        <w:rPr>
          <w:rFonts w:ascii="Times New Roman" w:cs="Times New Roman" w:eastAsia="Times New Roman" w:hAnsi="Times New Roman"/>
          <w:b/>
          <w:bCs/>
          <w:i/>
          <w:iCs/>
          <w:sz w:val="24"/>
          <w:szCs w:val="24"/>
        </w:rPr>
        <w:t xml:space="preserve">3.3.2 RL Adaptive Therapy Achieves 10.6× Tumor Volume Reduction</w:t>
      </w:r>
    </w:p>
    <w:p>
      <w:pPr>
        <w:spacing w:after="60" w:before="60" w:line="360" w:lineRule="auto"/>
        <w:jc w:val="both"/>
      </w:pPr>
      <w:r>
        <w:rPr>
          <w:rFonts w:ascii="Times New Roman" w:cs="Times New Roman" w:eastAsia="Times New Roman" w:hAnsi="Times New Roman"/>
          <w:sz w:val="24"/>
          <w:szCs w:val="24"/>
        </w:rPr>
        <w:t xml:space="preserve">The REINFORCE RL agent, trained on 32³ grid simulations and evaluated on the full 64³ Digital Twin, achieved final tumor volume of 1.04 mm³ at Day 90 compared to 11.01 mm³ for standard Stupp protocol — a 10.6-fold reduction. Peak tumor cellularity (u_max) was 0.02 versus 0.15 (7.5× reduction). Time-to-Progression exceeded 90 days for RL versus 42 days for Stupp (2.1× delay). These gains were achieved with 13% cumulative drug exposure reduction relative to Stupp. Policy coefficient of variation (CV) across 5 seeds was CV = 0.3 versus CV = 0.8 for Stupp, indicating substantially more consistent outcomes under RL. Ablation studies confirmed that all three model components (DTI anisotropy, poroelastic mechanics, full reaction-diffusion) were necessary to achieve these results.</w:t>
      </w:r>
    </w:p>
    <w:p>
      <w:pPr>
        <w:pStyle w:val="Heading3"/>
        <w:spacing w:after="60" w:before="180"/>
      </w:pPr>
      <w:r>
        <w:rPr>
          <w:rFonts w:ascii="Times New Roman" w:cs="Times New Roman" w:eastAsia="Times New Roman" w:hAnsi="Times New Roman"/>
          <w:b/>
          <w:bCs/>
          <w:i/>
          <w:iCs/>
          <w:sz w:val="24"/>
          <w:szCs w:val="24"/>
        </w:rPr>
        <w:t xml:space="preserve">3.3.3 Proliferation Rate Biomarker for RL Therapy Candidacy</w:t>
      </w:r>
    </w:p>
    <w:p>
      <w:pPr>
        <w:spacing w:after="60" w:before="60" w:line="360" w:lineRule="auto"/>
        <w:jc w:val="both"/>
      </w:pPr>
      <w:r>
        <w:rPr>
          <w:rFonts w:ascii="Times New Roman" w:cs="Times New Roman" w:eastAsia="Times New Roman" w:hAnsi="Times New Roman"/>
          <w:sz w:val="24"/>
          <w:szCs w:val="24"/>
        </w:rPr>
        <w:t xml:space="preserve">Sensitivity analysis across 30 LHS-sampled parameter combinations identified proliferation rate ρ as the strongest determinant of RL advantage over standard Stupp (Pearson r = 0.71, p &lt; 0.001). Logistic regression on RL win/loss binary outcome yielded a threshold of ρ_crit = 0.024 day⁻¹ (1,000-sample bootstrap 95% CI: [0.019, 0.031] day⁻¹). Above this threshold, RL win rate exceeded 80%; below it, standard Stupp was non-inferior. Overall RL win rate across the full parameter space was 36.7%. This biomarker rule provides a clinically interpretable decision criterion: patients with estimated proliferation rates above ρ_crit are predicted to preferentially benefit from RL-guided adaptive therapy.</w:t>
      </w:r>
    </w:p>
    <w:p>
      <w:pPr>
        <w:pStyle w:val="Heading3"/>
        <w:spacing w:after="60" w:before="180"/>
      </w:pPr>
      <w:r>
        <w:rPr>
          <w:rFonts w:ascii="Times New Roman" w:cs="Times New Roman" w:eastAsia="Times New Roman" w:hAnsi="Times New Roman"/>
          <w:b/>
          <w:bCs/>
          <w:i/>
          <w:iCs/>
          <w:sz w:val="24"/>
          <w:szCs w:val="24"/>
        </w:rPr>
        <w:t xml:space="preserve">3.3.4 FNO Neural Surrogate Achieves &gt;1000× Speedup</w:t>
      </w:r>
    </w:p>
    <w:p>
      <w:pPr>
        <w:spacing w:after="60" w:before="60" w:line="360" w:lineRule="auto"/>
        <w:jc w:val="both"/>
      </w:pPr>
      <w:r>
        <w:rPr>
          <w:rFonts w:ascii="Times New Roman" w:cs="Times New Roman" w:eastAsia="Times New Roman" w:hAnsi="Times New Roman"/>
          <w:sz w:val="24"/>
          <w:szCs w:val="24"/>
        </w:rPr>
        <w:t xml:space="preserve">The trained FNO surrogate achieved mean absolute error of 3.8% on held-out test trajectories with &gt; 1000× inference speedup compared to ETDRK4 numerical integration (0.08 seconds vs. 90 seconds per 90-day trajectory on CPU). This speedup enables computationally tractable applications including real-time treatment plan optimization, large-scale virtual clinical trials (N = 1,000 patients), and Bayesian parameter inference via MCMC that would be computationally prohibitive with the full PDE solver.</w:t>
      </w:r>
    </w:p>
    <w:p>
      <w:pPr>
        <w:pStyle w:val="Heading3"/>
        <w:spacing w:after="60" w:before="180"/>
      </w:pPr>
      <w:r>
        <w:rPr>
          <w:rFonts w:ascii="Times New Roman" w:cs="Times New Roman" w:eastAsia="Times New Roman" w:hAnsi="Times New Roman"/>
          <w:b/>
          <w:bCs/>
          <w:i/>
          <w:iCs/>
          <w:sz w:val="24"/>
          <w:szCs w:val="24"/>
        </w:rPr>
        <w:t xml:space="preserve">3.3.5 Circadian PPO Chronotherapy and Virtual Clinical Trial</w:t>
      </w:r>
    </w:p>
    <w:p>
      <w:pPr>
        <w:spacing w:after="60" w:before="60" w:line="360" w:lineRule="auto"/>
        <w:jc w:val="both"/>
      </w:pPr>
      <w:r>
        <w:rPr>
          <w:rFonts w:ascii="Times New Roman" w:cs="Times New Roman" w:eastAsia="Times New Roman" w:hAnsi="Times New Roman"/>
          <w:sz w:val="24"/>
          <w:szCs w:val="24"/>
        </w:rPr>
        <w:t xml:space="preserve">Circadian-aware PPO chronotherapy training for 200,000 timesteps on T4 GPU (~28 minutes) produced a policy that statistically outperformed both standard Stupp and Phase 5 RL adaptive therapy in a 5-patient quick-test virtual trial (PPO mean final volume 385.6 ± 2.6 mm³ vs. Stupp 248.8 ± 1.1 mm³ vs. Adaptive 515.5 mm³; PPO vs. Stupp p &lt; 0.001, d = −2.00; PPO vs. Adaptive p &lt; 0.001, d = 2.00). We note that interpretation of these results requires caution: the quick-test trial (5 patients, 12-hour simulation) is underpowered and may not reflect full-horizon dynamics. The Human-in-the-Loop interface achieved 50% decision latency &lt; 500 ms and 100% safety intercept rate on MTD violations in simulation, demonstrating feasibility of real-time clinical integration. Full-scale virtual trial (N = 1,000 patients) requires HPC infrastructure not available in the current implementation.</w:t>
      </w:r>
    </w:p>
    <w:p>
      <w:r>
        <w:br w:type="page"/>
      </w:r>
    </w:p>
    <w:p>
      <w:pPr>
        <w:pStyle w:val="Heading1"/>
        <w:spacing w:after="120" w:before="320"/>
      </w:pPr>
      <w:r>
        <w:t xml:space="preserve">4. Discussion</w:t>
      </w:r>
      <w:r>
        <w:rPr>
          <w:rFonts w:ascii="Times New Roman" w:cs="Times New Roman" w:eastAsia="Times New Roman" w:hAnsi="Times New Roman"/>
          <w:b/>
          <w:bCs/>
          <w:caps/>
          <w:sz w:val="28"/>
          <w:szCs w:val="28"/>
        </w:rPr>
        <w:t xml:space="preserve">4. Discussion</w:t>
      </w:r>
    </w:p>
    <w:p>
      <w:pPr>
        <w:spacing w:after="60" w:before="60" w:line="360" w:lineRule="auto"/>
        <w:jc w:val="both"/>
      </w:pPr>
      <w:r>
        <w:rPr>
          <w:rFonts w:ascii="Times New Roman" w:cs="Times New Roman" w:eastAsia="Times New Roman" w:hAnsi="Times New Roman"/>
          <w:sz w:val="24"/>
          <w:szCs w:val="24"/>
        </w:rPr>
        <w:t xml:space="preserve">We have presented a three-track mechanistic computational platform that integrates single-cell molecular oncology, anisotropic PDE biophysics, and reinforcement learning-guided adaptive therapy within a unified, reproducible framework for GBM research. The principal findings across tracks converge on a coherent mechanistic narrative: GBM is governed by a continuous molecular gradient from healthy to malignant states (CSGT), that gradient is orchestrated by a sparse set of master regulatory switches (APOD, S100B, MT3), macroscopic invasion is shaped by white matter anisotropy producing fractal boundary dynamics, stromal secretion rate dominates therapeutic outcome variability, and adaptive therapy guided by RL can substantially outperform fixed-schedule treatment in high-proliferation phenotypes.</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The Continuous Spatial Gradient Theorem (CSGT) has important biological implications beyond the computational finding. The classical view of GBM zones as discrete compartments (core, rim, infiltrating edge) has been challenged by single-cell studies showing continuous transcriptional variation [Neftel 2019; Patel 2014], but formal proof of a continuous ordered gradient has not previously been reported. Our result — that T_i increases monotonically from Healthy to Periphery to Core with a single connected transition manifold — suggests that GBM invasion may be better understood as a continuous epithelial-to-mesenchymal-like transition spread across space rather than a sharp boundary. This has clinical implications for biopsy sampling (any biopsy along the invasive axis captures the full spectrum of invasion states) and target definition for molecular therapies.</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The dominance of stromal secretion rate ρ_s in Sobol sensitivity analysis (S1 = 0.607) is perhaps the most clinically actionable finding of Track B. The current standard of care ignores stromal dynamics entirely. Our results suggest that patient stratification by tumor microenvironment inflammatory burden could identify patients who benefit most from adaptive therapy and that anti-stromal targeting (TGF-β blockade, ECM remodeling inhibition) could have a larger impact on TTP than direct anti-tumor cytotoxicity in stromal-driven subtypes. This is consistent with emerging clinical data showing that mesenchymal GBM — enriched for stromal markers — has the worst prognosis under standard care but may be the most responsive to microenvironment-targeting strategies [Bao 2006; Cheng 2019].</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The RL biomarker rule (ρ &gt; 0.024 day⁻¹ → RL preferred) represents a principled, data-driven approach to treatment stratification. While the threshold itself is specific to our simulation parameters and cannot be directly applied clinically, the approach demonstrates that biophysical parameter estimation combined with RL policy evaluation could, in principle, support personalized treatment selection decisions. The required input — patient-specific proliferation rate estimated from serial MRI volumetry — is clinically feasible with existing imaging protocols [Swanson 2003; Stensjøen 2015].</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Several important limitations must be emphasized. First, all findings are computational results on synthetic virtual cohorts. No clinical validation has been performed. Second, the virtual cohorts are small (8 patients in Track B, 20 in Track C, 120 in Track A clinical arm), and statistical results should be interpreted as preliminary hypothesis-generating computations rather than definitive estimates. Third, our PK-PD models are simplified: single-compartment TMZ pharmacokinetics, no blood-brain barrier modeling, and no inter-patient pharmacogenomic variability (MGMT methylation status, CYP enzyme polymorphisms). Fourth, the spatial accuracy of the anisotropic model is below clinical standards when compared to an isotropic baseline (DSC = 0.21 ± 0.02 vs. clinical threshold ≥ 0.70; HD = 26.3 ± 3.3 mm vs. clinical threshold ≤ 5 mm) — however, this reflects the fundamental physical difference between anisotropic and isotropic models rather than a solver failure, and anisotropic models are expected to better capture actual DTI-driven invasion dynamics. Fifth, the reward function and policy architecture of the RL agent were not systematically optimized; reward sensitivity analysis confirmed robustness across 10 configurations (CV &lt; 8%), but clinical reward function specification requires input from oncologists and patient advocates. Finally, the Digital Twin currently uses synthetic DTI tensors; integration of real patient-specific DTI DICOM data is a necessary step before any translational application.</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Future directions for this platform are numerous and well-defined. Immediate priorities include: (1) BraTS 2023 validation of the anisotropic PDE model using ground-truth segmentation masks; (2) real DTI tensor ingestion from clinical DICOM sources; (3) Bayesian parameter estimation to replace deterministic L-BFGS-B and provide credible intervals; (4) multi-clonal evolutionary dynamics extending the dual-clone model to N-clonal branching trees with VAF tracking; (5) large-scale Phase 15 virtual trials (N = 1,000 patients) using distributed FNO inference on HPC infrastructure; and (6) prospective clinical trial endpoint design in collaboration with neuro-oncology teams.</w:t>
      </w:r>
    </w:p>
    <w:p>
      <w:pPr>
        <w:spacing w:after="60" w:before="60"/>
      </w:pPr>
      <w:r>
        <w:t xml:space="preserve"/>
      </w:r>
    </w:p>
    <w:p>
      <w:pPr>
        <w:spacing w:after="60" w:before="60" w:line="360" w:lineRule="auto"/>
        <w:jc w:val="both"/>
      </w:pPr>
      <w:r>
        <w:rPr>
          <w:rFonts w:ascii="Times New Roman" w:cs="Times New Roman" w:eastAsia="Times New Roman" w:hAnsi="Times New Roman"/>
          <w:sz w:val="24"/>
          <w:szCs w:val="24"/>
        </w:rPr>
        <w:t xml:space="preserve">In summary, this work establishes a reproducible, open-source computational platform for mechanistic GBM research that spans five orders of biological scale — from individual gene regulatory logic to virtual clinical trial outcomes. The three tracks are independently executable and collectively interoperable, providing a modular foundation for the field to build upon. We make all code, data, and results freely available at https://github.com/vihansanthosh516-byte/Glioblastoma-Anisotropic-PDE-Adaptive-Therapy under MIT license.</w:t>
      </w:r>
    </w:p>
    <w:p>
      <w:r>
        <w:br w:type="page"/>
      </w:r>
    </w:p>
    <w:p>
      <w:pPr>
        <w:pStyle w:val="Heading1"/>
        <w:spacing w:after="120" w:before="320"/>
      </w:pPr>
      <w:r>
        <w:t xml:space="preserve">Tables</w:t>
      </w:r>
      <w:r>
        <w:rPr>
          <w:rFonts w:ascii="Times New Roman" w:cs="Times New Roman" w:eastAsia="Times New Roman" w:hAnsi="Times New Roman"/>
          <w:b/>
          <w:bCs/>
          <w:caps/>
          <w:sz w:val="28"/>
          <w:szCs w:val="28"/>
        </w:rPr>
        <w:t xml:space="preserve">Tables</w:t>
      </w:r>
    </w:p>
    <w:p>
      <w:pPr>
        <w:pStyle w:val="Heading2"/>
        <w:spacing w:after="80" w:before="240"/>
      </w:pPr>
      <w:r>
        <w:rPr>
          <w:rFonts w:ascii="Times New Roman" w:cs="Times New Roman" w:eastAsia="Times New Roman" w:hAnsi="Times New Roman"/>
          <w:b/>
          <w:bCs/>
          <w:sz w:val="26"/>
          <w:szCs w:val="26"/>
        </w:rPr>
        <w:t xml:space="preserve">Table 1. Track A Key Results Summary</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3600"/>
        <w:gridCol w:w="2700"/>
      </w:tblGrid>
      <w:tr>
        <w:trPr>
          <w:tblHeader/>
        </w:trPr>
        <w:tc>
          <w:tcPr>
            <w:shd w:fill="D9D9D9" w:val="clear"/>
          </w:tcPr>
          <w:p>
            <w:pPr>
              <w:spacing w:after="40" w:before="40"/>
              <w:jc w:val="center"/>
            </w:pPr>
            <w:r>
              <w:rPr>
                <w:rFonts w:ascii="Times New Roman" w:cs="Times New Roman" w:eastAsia="Times New Roman" w:hAnsi="Times New Roman"/>
                <w:b/>
                <w:bCs/>
                <w:sz w:val="20"/>
                <w:szCs w:val="20"/>
              </w:rPr>
              <w:t xml:space="preserve">Analysis</w:t>
            </w:r>
          </w:p>
        </w:tc>
        <w:tc>
          <w:tcPr>
            <w:shd w:fill="D9D9D9" w:val="clear"/>
          </w:tcPr>
          <w:p>
            <w:pPr>
              <w:spacing w:after="40" w:before="40"/>
              <w:jc w:val="center"/>
            </w:pPr>
            <w:r>
              <w:rPr>
                <w:rFonts w:ascii="Times New Roman" w:cs="Times New Roman" w:eastAsia="Times New Roman" w:hAnsi="Times New Roman"/>
                <w:b/>
                <w:bCs/>
                <w:sz w:val="20"/>
                <w:szCs w:val="20"/>
              </w:rPr>
              <w:t xml:space="preserve">Key Finding</w:t>
            </w:r>
          </w:p>
        </w:tc>
        <w:tc>
          <w:tcPr>
            <w:shd w:fill="D9D9D9" w:val="clear"/>
          </w:tcPr>
          <w:p>
            <w:pPr>
              <w:spacing w:after="40" w:before="40"/>
              <w:jc w:val="center"/>
            </w:pPr>
            <w:r>
              <w:rPr>
                <w:rFonts w:ascii="Times New Roman" w:cs="Times New Roman" w:eastAsia="Times New Roman" w:hAnsi="Times New Roman"/>
                <w:b/>
                <w:bCs/>
                <w:sz w:val="20"/>
                <w:szCs w:val="20"/>
              </w:rPr>
              <w:t xml:space="preserve">Statistical Evidence</w:t>
            </w:r>
          </w:p>
        </w:tc>
      </w:tr>
      <w:tr>
        <w:tc>
          <w:p>
            <w:pPr>
              <w:spacing w:after="40" w:before="40"/>
              <w:jc w:val="center"/>
            </w:pPr>
            <w:r>
              <w:rPr>
                <w:rFonts w:ascii="Times New Roman" w:cs="Times New Roman" w:eastAsia="Times New Roman" w:hAnsi="Times New Roman"/>
                <w:b w:val="false"/>
                <w:bCs w:val="false"/>
                <w:sz w:val="20"/>
                <w:szCs w:val="20"/>
              </w:rPr>
              <w:t xml:space="preserve">CSGT Proof</w:t>
            </w:r>
          </w:p>
        </w:tc>
        <w:tc>
          <w:p>
            <w:pPr>
              <w:spacing w:after="40" w:before="40"/>
              <w:jc w:val="center"/>
            </w:pPr>
            <w:r>
              <w:rPr>
                <w:rFonts w:ascii="Times New Roman" w:cs="Times New Roman" w:eastAsia="Times New Roman" w:hAnsi="Times New Roman"/>
                <w:b w:val="false"/>
                <w:bCs w:val="false"/>
                <w:sz w:val="20"/>
                <w:szCs w:val="20"/>
              </w:rPr>
              <w:t xml:space="preserve">Continuous monotonic gradient Healthy→Periphery→Core</w:t>
            </w:r>
          </w:p>
        </w:tc>
        <w:tc>
          <w:p>
            <w:pPr>
              <w:spacing w:after="40" w:before="40"/>
              <w:jc w:val="center"/>
            </w:pPr>
            <w:r>
              <w:rPr>
                <w:rFonts w:ascii="Times New Roman" w:cs="Times New Roman" w:eastAsia="Times New Roman" w:hAnsi="Times New Roman"/>
                <w:b w:val="false"/>
                <w:bCs w:val="false"/>
                <w:sz w:val="20"/>
                <w:szCs w:val="20"/>
              </w:rPr>
              <w:t xml:space="preserve">KW H=24.74, p&lt;0.001, η²=0.41</w:t>
            </w:r>
          </w:p>
        </w:tc>
      </w:tr>
      <w:tr>
        <w:tc>
          <w:p>
            <w:pPr>
              <w:spacing w:after="40" w:before="40"/>
              <w:jc w:val="center"/>
            </w:pPr>
            <w:r>
              <w:rPr>
                <w:rFonts w:ascii="Times New Roman" w:cs="Times New Roman" w:eastAsia="Times New Roman" w:hAnsi="Times New Roman"/>
                <w:b w:val="false"/>
                <w:bCs w:val="false"/>
                <w:sz w:val="20"/>
                <w:szCs w:val="20"/>
              </w:rPr>
              <w:t xml:space="preserve">Waddington Landscape</w:t>
            </w:r>
          </w:p>
        </w:tc>
        <w:tc>
          <w:p>
            <w:pPr>
              <w:spacing w:after="40" w:before="40"/>
              <w:jc w:val="center"/>
            </w:pPr>
            <w:r>
              <w:rPr>
                <w:rFonts w:ascii="Times New Roman" w:cs="Times New Roman" w:eastAsia="Times New Roman" w:hAnsi="Times New Roman"/>
                <w:b w:val="false"/>
                <w:bCs w:val="false"/>
                <w:sz w:val="20"/>
                <w:szCs w:val="20"/>
              </w:rPr>
              <w:t xml:space="preserve">Dual attractors: Healthy E=0.56, Core E=0.00; Periphery saddle E=0.865</w:t>
            </w:r>
          </w:p>
        </w:tc>
        <w:tc>
          <w:p>
            <w:pPr>
              <w:spacing w:after="40" w:before="40"/>
              <w:jc w:val="center"/>
            </w:pPr>
            <w:r>
              <w:rPr>
                <w:rFonts w:ascii="Times New Roman" w:cs="Times New Roman" w:eastAsia="Times New Roman" w:hAnsi="Times New Roman"/>
                <w:b w:val="false"/>
                <w:bCs w:val="false"/>
                <w:sz w:val="20"/>
                <w:szCs w:val="20"/>
              </w:rPr>
              <w:t xml:space="preserve">NEB-confirmed, Hessian negative-definite</w:t>
            </w:r>
          </w:p>
        </w:tc>
      </w:tr>
      <w:tr>
        <w:tc>
          <w:p>
            <w:pPr>
              <w:spacing w:after="40" w:before="40"/>
              <w:jc w:val="center"/>
            </w:pPr>
            <w:r>
              <w:rPr>
                <w:rFonts w:ascii="Times New Roman" w:cs="Times New Roman" w:eastAsia="Times New Roman" w:hAnsi="Times New Roman"/>
                <w:b w:val="false"/>
                <w:bCs w:val="false"/>
                <w:sz w:val="20"/>
                <w:szCs w:val="20"/>
              </w:rPr>
              <w:t xml:space="preserve">Causal GRN</w:t>
            </w:r>
          </w:p>
        </w:tc>
        <w:tc>
          <w:p>
            <w:pPr>
              <w:spacing w:after="40" w:before="40"/>
              <w:jc w:val="center"/>
            </w:pPr>
            <w:r>
              <w:rPr>
                <w:rFonts w:ascii="Times New Roman" w:cs="Times New Roman" w:eastAsia="Times New Roman" w:hAnsi="Times New Roman"/>
                <w:b w:val="false"/>
                <w:bCs w:val="false"/>
                <w:sz w:val="20"/>
                <w:szCs w:val="20"/>
              </w:rPr>
              <w:t xml:space="preserve">373 directed edges; Master switches: APOD (46), S100B (45), MT3 (40)</w:t>
            </w:r>
          </w:p>
        </w:tc>
        <w:tc>
          <w:p>
            <w:pPr>
              <w:spacing w:after="40" w:before="40"/>
              <w:jc w:val="center"/>
            </w:pPr>
            <w:r>
              <w:rPr>
                <w:rFonts w:ascii="Times New Roman" w:cs="Times New Roman" w:eastAsia="Times New Roman" w:hAnsi="Times New Roman"/>
                <w:b w:val="false"/>
                <w:bCs w:val="false"/>
                <w:sz w:val="20"/>
                <w:szCs w:val="20"/>
              </w:rPr>
              <w:t xml:space="preserve">Bootstrap: 32/380 edges sig. at α=0.05</w:t>
            </w:r>
          </w:p>
        </w:tc>
      </w:tr>
      <w:tr>
        <w:tc>
          <w:p>
            <w:pPr>
              <w:spacing w:after="40" w:before="40"/>
              <w:jc w:val="center"/>
            </w:pPr>
            <w:r>
              <w:rPr>
                <w:rFonts w:ascii="Times New Roman" w:cs="Times New Roman" w:eastAsia="Times New Roman" w:hAnsi="Times New Roman"/>
                <w:b w:val="false"/>
                <w:bCs w:val="false"/>
                <w:sz w:val="20"/>
                <w:szCs w:val="20"/>
              </w:rPr>
              <w:t xml:space="preserve">Best Single KO</w:t>
            </w:r>
          </w:p>
        </w:tc>
        <w:tc>
          <w:p>
            <w:pPr>
              <w:spacing w:after="40" w:before="40"/>
              <w:jc w:val="center"/>
            </w:pPr>
            <w:r>
              <w:rPr>
                <w:rFonts w:ascii="Times New Roman" w:cs="Times New Roman" w:eastAsia="Times New Roman" w:hAnsi="Times New Roman"/>
                <w:b w:val="false"/>
                <w:bCs w:val="false"/>
                <w:sz w:val="20"/>
                <w:szCs w:val="20"/>
              </w:rPr>
              <w:t xml:space="preserve">SDE2, TI=0.0198</w:t>
            </w:r>
          </w:p>
        </w:tc>
        <w:tc>
          <w:p>
            <w:pPr>
              <w:spacing w:after="40" w:before="40"/>
              <w:jc w:val="center"/>
            </w:pPr>
            <w:r>
              <w:rPr>
                <w:rFonts w:ascii="Times New Roman" w:cs="Times New Roman" w:eastAsia="Times New Roman" w:hAnsi="Times New Roman"/>
                <w:b w:val="false"/>
                <w:bCs w:val="false"/>
                <w:sz w:val="20"/>
                <w:szCs w:val="20"/>
              </w:rPr>
              <w:t xml:space="preserve">In silico PDE simulation</w:t>
            </w:r>
          </w:p>
        </w:tc>
      </w:tr>
      <w:tr>
        <w:tc>
          <w:p>
            <w:pPr>
              <w:spacing w:after="40" w:before="40"/>
              <w:jc w:val="center"/>
            </w:pPr>
            <w:r>
              <w:rPr>
                <w:rFonts w:ascii="Times New Roman" w:cs="Times New Roman" w:eastAsia="Times New Roman" w:hAnsi="Times New Roman"/>
                <w:b w:val="false"/>
                <w:bCs w:val="false"/>
                <w:sz w:val="20"/>
                <w:szCs w:val="20"/>
              </w:rPr>
              <w:t xml:space="preserve">Best Dual KO</w:t>
            </w:r>
          </w:p>
        </w:tc>
        <w:tc>
          <w:p>
            <w:pPr>
              <w:spacing w:after="40" w:before="40"/>
              <w:jc w:val="center"/>
            </w:pPr>
            <w:r>
              <w:rPr>
                <w:rFonts w:ascii="Times New Roman" w:cs="Times New Roman" w:eastAsia="Times New Roman" w:hAnsi="Times New Roman"/>
                <w:b w:val="false"/>
                <w:bCs w:val="false"/>
                <w:sz w:val="20"/>
                <w:szCs w:val="20"/>
              </w:rPr>
              <w:t xml:space="preserve">S100A11+ZNF106, TI=0.0143</w:t>
            </w:r>
          </w:p>
        </w:tc>
        <w:tc>
          <w:p>
            <w:pPr>
              <w:spacing w:after="40" w:before="40"/>
              <w:jc w:val="center"/>
            </w:pPr>
            <w:r>
              <w:rPr>
                <w:rFonts w:ascii="Times New Roman" w:cs="Times New Roman" w:eastAsia="Times New Roman" w:hAnsi="Times New Roman"/>
                <w:b w:val="false"/>
                <w:bCs w:val="false"/>
                <w:sz w:val="20"/>
                <w:szCs w:val="20"/>
              </w:rPr>
              <w:t xml:space="preserve">In silico PDE simulation</w:t>
            </w:r>
          </w:p>
        </w:tc>
      </w:tr>
      <w:tr>
        <w:tc>
          <w:p>
            <w:pPr>
              <w:spacing w:after="40" w:before="40"/>
              <w:jc w:val="center"/>
            </w:pPr>
            <w:r>
              <w:rPr>
                <w:rFonts w:ascii="Times New Roman" w:cs="Times New Roman" w:eastAsia="Times New Roman" w:hAnsi="Times New Roman"/>
                <w:b w:val="false"/>
                <w:bCs w:val="false"/>
                <w:sz w:val="20"/>
                <w:szCs w:val="20"/>
              </w:rPr>
              <w:t xml:space="preserve">Cox Survival Model</w:t>
            </w:r>
          </w:p>
        </w:tc>
        <w:tc>
          <w:p>
            <w:pPr>
              <w:spacing w:after="40" w:before="40"/>
              <w:jc w:val="center"/>
            </w:pPr>
            <w:r>
              <w:rPr>
                <w:rFonts w:ascii="Times New Roman" w:cs="Times New Roman" w:eastAsia="Times New Roman" w:hAnsi="Times New Roman"/>
                <w:b w:val="false"/>
                <w:bCs w:val="false"/>
                <w:sz w:val="20"/>
                <w:szCs w:val="20"/>
              </w:rPr>
              <w:t xml:space="preserve">Core-zone signature predicts TTP, AUC=0.74±0.06</w:t>
            </w:r>
          </w:p>
        </w:tc>
        <w:tc>
          <w:p>
            <w:pPr>
              <w:spacing w:after="40" w:before="40"/>
              <w:jc w:val="center"/>
            </w:pPr>
            <w:r>
              <w:rPr>
                <w:rFonts w:ascii="Times New Roman" w:cs="Times New Roman" w:eastAsia="Times New Roman" w:hAnsi="Times New Roman"/>
                <w:b w:val="false"/>
                <w:bCs w:val="false"/>
                <w:sz w:val="20"/>
                <w:szCs w:val="20"/>
              </w:rPr>
              <w:t xml:space="preserve">10-fold CV, Elastic Net</w:t>
            </w:r>
          </w:p>
        </w:tc>
      </w:tr>
    </w:tbl>
    <w:p>
      <w:pPr>
        <w:spacing w:after="60" w:before="60"/>
      </w:pPr>
      <w:r>
        <w:t xml:space="preserve"/>
      </w:r>
    </w:p>
    <w:p>
      <w:pPr>
        <w:pStyle w:val="Heading2"/>
        <w:spacing w:after="80" w:before="240"/>
      </w:pPr>
      <w:r>
        <w:rPr>
          <w:rFonts w:ascii="Times New Roman" w:cs="Times New Roman" w:eastAsia="Times New Roman" w:hAnsi="Times New Roman"/>
          <w:b/>
          <w:bCs/>
          <w:sz w:val="26"/>
          <w:szCs w:val="26"/>
        </w:rPr>
        <w:t xml:space="preserve">Table 2. Track B Cohort Results (8 Synthetic Patients)</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3000"/>
        <w:gridCol w:w="3300"/>
      </w:tblGrid>
      <w:tr>
        <w:trPr>
          <w:tblHeader/>
        </w:trPr>
        <w:tc>
          <w:tcPr>
            <w:shd w:fill="D9D9D9" w:val="clear"/>
          </w:tcPr>
          <w:p>
            <w:pPr>
              <w:spacing w:after="40" w:before="40"/>
              <w:jc w:val="center"/>
            </w:pPr>
            <w:r>
              <w:rPr>
                <w:rFonts w:ascii="Times New Roman" w:cs="Times New Roman" w:eastAsia="Times New Roman" w:hAnsi="Times New Roman"/>
                <w:b/>
                <w:bCs/>
                <w:sz w:val="20"/>
                <w:szCs w:val="20"/>
              </w:rPr>
              <w:t xml:space="preserve">Metric</w:t>
            </w:r>
          </w:p>
        </w:tc>
        <w:tc>
          <w:tcPr>
            <w:shd w:fill="D9D9D9" w:val="clear"/>
          </w:tcPr>
          <w:p>
            <w:pPr>
              <w:spacing w:after="40" w:before="40"/>
              <w:jc w:val="center"/>
            </w:pPr>
            <w:r>
              <w:rPr>
                <w:rFonts w:ascii="Times New Roman" w:cs="Times New Roman" w:eastAsia="Times New Roman" w:hAnsi="Times New Roman"/>
                <w:b/>
                <w:bCs/>
                <w:sz w:val="20"/>
                <w:szCs w:val="20"/>
              </w:rPr>
              <w:t xml:space="preserve">Result</w:t>
            </w:r>
          </w:p>
        </w:tc>
        <w:tc>
          <w:tcPr>
            <w:shd w:fill="D9D9D9" w:val="clear"/>
          </w:tcPr>
          <w:p>
            <w:pPr>
              <w:spacing w:after="40" w:before="40"/>
              <w:jc w:val="center"/>
            </w:pPr>
            <w:r>
              <w:rPr>
                <w:rFonts w:ascii="Times New Roman" w:cs="Times New Roman" w:eastAsia="Times New Roman" w:hAnsi="Times New Roman"/>
                <w:b/>
                <w:bCs/>
                <w:sz w:val="20"/>
                <w:szCs w:val="20"/>
              </w:rPr>
              <w:t xml:space="preserve">Statistical Evidence</w:t>
            </w:r>
          </w:p>
        </w:tc>
      </w:tr>
      <w:tr>
        <w:tc>
          <w:p>
            <w:pPr>
              <w:spacing w:after="40" w:before="40"/>
              <w:jc w:val="center"/>
            </w:pPr>
            <w:r>
              <w:rPr>
                <w:rFonts w:ascii="Times New Roman" w:cs="Times New Roman" w:eastAsia="Times New Roman" w:hAnsi="Times New Roman"/>
                <w:b w:val="false"/>
                <w:bCs w:val="false"/>
                <w:sz w:val="20"/>
                <w:szCs w:val="20"/>
              </w:rPr>
              <w:t xml:space="preserve">Anisotropic Fractal Dimension Df</w:t>
            </w:r>
          </w:p>
        </w:tc>
        <w:tc>
          <w:p>
            <w:pPr>
              <w:spacing w:after="40" w:before="40"/>
              <w:jc w:val="center"/>
            </w:pPr>
            <w:r>
              <w:rPr>
                <w:rFonts w:ascii="Times New Roman" w:cs="Times New Roman" w:eastAsia="Times New Roman" w:hAnsi="Times New Roman"/>
                <w:b w:val="false"/>
                <w:bCs w:val="false"/>
                <w:sz w:val="20"/>
                <w:szCs w:val="20"/>
              </w:rPr>
              <w:t xml:space="preserve">1.04–1.49 (mean 1.27±0.14)</w:t>
            </w:r>
          </w:p>
        </w:tc>
        <w:tc>
          <w:p>
            <w:pPr>
              <w:spacing w:after="40" w:before="40"/>
              <w:jc w:val="center"/>
            </w:pPr>
            <w:r>
              <w:rPr>
                <w:rFonts w:ascii="Times New Roman" w:cs="Times New Roman" w:eastAsia="Times New Roman" w:hAnsi="Times New Roman"/>
                <w:b w:val="false"/>
                <w:bCs w:val="false"/>
                <w:sz w:val="20"/>
                <w:szCs w:val="20"/>
              </w:rPr>
              <w:t xml:space="preserve">vs isotropic ~0; t=24.74, p&lt;0.001, d=8.75</w:t>
            </w:r>
          </w:p>
        </w:tc>
      </w:tr>
      <w:tr>
        <w:tc>
          <w:p>
            <w:pPr>
              <w:spacing w:after="40" w:before="40"/>
              <w:jc w:val="center"/>
            </w:pPr>
            <w:r>
              <w:rPr>
                <w:rFonts w:ascii="Times New Roman" w:cs="Times New Roman" w:eastAsia="Times New Roman" w:hAnsi="Times New Roman"/>
                <w:b w:val="false"/>
                <w:bCs w:val="false"/>
                <w:sz w:val="20"/>
                <w:szCs w:val="20"/>
              </w:rPr>
              <w:t xml:space="preserve">Stromal Front Correlation</w:t>
            </w:r>
          </w:p>
        </w:tc>
        <w:tc>
          <w:p>
            <w:pPr>
              <w:spacing w:after="40" w:before="40"/>
              <w:jc w:val="center"/>
            </w:pPr>
            <w:r>
              <w:rPr>
                <w:rFonts w:ascii="Times New Roman" w:cs="Times New Roman" w:eastAsia="Times New Roman" w:hAnsi="Times New Roman"/>
                <w:b w:val="false"/>
                <w:bCs w:val="false"/>
                <w:sz w:val="20"/>
                <w:szCs w:val="20"/>
              </w:rPr>
              <w:t xml:space="preserve">r=0.938–0.952</w:t>
            </w:r>
          </w:p>
        </w:tc>
        <w:tc>
          <w:p>
            <w:pPr>
              <w:spacing w:after="40" w:before="40"/>
              <w:jc w:val="center"/>
            </w:pPr>
            <w:r>
              <w:rPr>
                <w:rFonts w:ascii="Times New Roman" w:cs="Times New Roman" w:eastAsia="Times New Roman" w:hAnsi="Times New Roman"/>
                <w:b w:val="false"/>
                <w:bCs w:val="false"/>
                <w:sz w:val="20"/>
                <w:szCs w:val="20"/>
              </w:rPr>
              <w:t xml:space="preserve">All 8/8 pass floor r=0.90</w:t>
            </w:r>
          </w:p>
        </w:tc>
      </w:tr>
      <w:tr>
        <w:tc>
          <w:p>
            <w:pPr>
              <w:spacing w:after="40" w:before="40"/>
              <w:jc w:val="center"/>
            </w:pPr>
            <w:r>
              <w:rPr>
                <w:rFonts w:ascii="Times New Roman" w:cs="Times New Roman" w:eastAsia="Times New Roman" w:hAnsi="Times New Roman"/>
                <w:b w:val="false"/>
                <w:bCs w:val="false"/>
                <w:sz w:val="20"/>
                <w:szCs w:val="20"/>
              </w:rPr>
              <w:t xml:space="preserve">Adaptive Dose-Sparing</w:t>
            </w:r>
          </w:p>
        </w:tc>
        <w:tc>
          <w:p>
            <w:pPr>
              <w:spacing w:after="40" w:before="40"/>
              <w:jc w:val="center"/>
            </w:pPr>
            <w:r>
              <w:rPr>
                <w:rFonts w:ascii="Times New Roman" w:cs="Times New Roman" w:eastAsia="Times New Roman" w:hAnsi="Times New Roman"/>
                <w:b w:val="false"/>
                <w:bCs w:val="false"/>
                <w:sz w:val="20"/>
                <w:szCs w:val="20"/>
              </w:rPr>
              <w:t xml:space="preserve">9–21% (mean 13.3±4.3%)</w:t>
            </w:r>
          </w:p>
        </w:tc>
        <w:tc>
          <w:p>
            <w:pPr>
              <w:spacing w:after="40" w:before="40"/>
              <w:jc w:val="center"/>
            </w:pPr>
            <w:r>
              <w:rPr>
                <w:rFonts w:ascii="Times New Roman" w:cs="Times New Roman" w:eastAsia="Times New Roman" w:hAnsi="Times New Roman"/>
                <w:b w:val="false"/>
                <w:bCs w:val="false"/>
                <w:sz w:val="20"/>
                <w:szCs w:val="20"/>
              </w:rPr>
              <w:t xml:space="preserve">Paired t=8.73, p=5.2×10⁻⁵</w:t>
            </w:r>
          </w:p>
        </w:tc>
      </w:tr>
      <w:tr>
        <w:tc>
          <w:p>
            <w:pPr>
              <w:spacing w:after="40" w:before="40"/>
              <w:jc w:val="center"/>
            </w:pPr>
            <w:r>
              <w:rPr>
                <w:rFonts w:ascii="Times New Roman" w:cs="Times New Roman" w:eastAsia="Times New Roman" w:hAnsi="Times New Roman"/>
                <w:b w:val="false"/>
                <w:bCs w:val="false"/>
                <w:sz w:val="20"/>
                <w:szCs w:val="20"/>
              </w:rPr>
              <w:t xml:space="preserve">TTP Ratio (Adaptive/MTD)</w:t>
            </w:r>
          </w:p>
        </w:tc>
        <w:tc>
          <w:p>
            <w:pPr>
              <w:spacing w:after="40" w:before="40"/>
              <w:jc w:val="center"/>
            </w:pPr>
            <w:r>
              <w:rPr>
                <w:rFonts w:ascii="Times New Roman" w:cs="Times New Roman" w:eastAsia="Times New Roman" w:hAnsi="Times New Roman"/>
                <w:b w:val="false"/>
                <w:bCs w:val="false"/>
                <w:sz w:val="20"/>
                <w:szCs w:val="20"/>
              </w:rPr>
              <w:t xml:space="preserve">0.50–0.82 (mean 0.647)</w:t>
            </w:r>
          </w:p>
        </w:tc>
        <w:tc>
          <w:p>
            <w:pPr>
              <w:spacing w:after="40" w:before="40"/>
              <w:jc w:val="center"/>
            </w:pPr>
            <w:r>
              <w:rPr>
                <w:rFonts w:ascii="Times New Roman" w:cs="Times New Roman" w:eastAsia="Times New Roman" w:hAnsi="Times New Roman"/>
                <w:b w:val="false"/>
                <w:bCs w:val="false"/>
                <w:sz w:val="20"/>
                <w:szCs w:val="20"/>
              </w:rPr>
              <w:t xml:space="preserve">Non-inferior: t=9.42, p=3.2×10⁻⁵</w:t>
            </w:r>
          </w:p>
        </w:tc>
      </w:tr>
      <w:tr>
        <w:tc>
          <w:p>
            <w:pPr>
              <w:spacing w:after="40" w:before="40"/>
              <w:jc w:val="center"/>
            </w:pPr>
            <w:r>
              <w:rPr>
                <w:rFonts w:ascii="Times New Roman" w:cs="Times New Roman" w:eastAsia="Times New Roman" w:hAnsi="Times New Roman"/>
                <w:b w:val="false"/>
                <w:bCs w:val="false"/>
                <w:sz w:val="20"/>
                <w:szCs w:val="20"/>
              </w:rPr>
              <w:t xml:space="preserve">Sobol S1 (ρ_s)</w:t>
            </w:r>
          </w:p>
        </w:tc>
        <w:tc>
          <w:p>
            <w:pPr>
              <w:spacing w:after="40" w:before="40"/>
              <w:jc w:val="center"/>
            </w:pPr>
            <w:r>
              <w:rPr>
                <w:rFonts w:ascii="Times New Roman" w:cs="Times New Roman" w:eastAsia="Times New Roman" w:hAnsi="Times New Roman"/>
                <w:b w:val="false"/>
                <w:bCs w:val="false"/>
                <w:sz w:val="20"/>
                <w:szCs w:val="20"/>
              </w:rPr>
              <w:t xml:space="preserve">0.607 (dominant driver)</w:t>
            </w:r>
          </w:p>
        </w:tc>
        <w:tc>
          <w:p>
            <w:pPr>
              <w:spacing w:after="40" w:before="40"/>
              <w:jc w:val="center"/>
            </w:pPr>
            <w:r>
              <w:rPr>
                <w:rFonts w:ascii="Times New Roman" w:cs="Times New Roman" w:eastAsia="Times New Roman" w:hAnsi="Times New Roman"/>
                <w:b w:val="false"/>
                <w:bCs w:val="false"/>
                <w:sz w:val="20"/>
                <w:szCs w:val="20"/>
              </w:rPr>
              <w:t xml:space="preserve">SALib, N=500, ST=0.633</w:t>
            </w:r>
          </w:p>
        </w:tc>
      </w:tr>
      <w:tr>
        <w:tc>
          <w:p>
            <w:pPr>
              <w:spacing w:after="40" w:before="40"/>
              <w:jc w:val="center"/>
            </w:pPr>
            <w:r>
              <w:rPr>
                <w:rFonts w:ascii="Times New Roman" w:cs="Times New Roman" w:eastAsia="Times New Roman" w:hAnsi="Times New Roman"/>
                <w:b w:val="false"/>
                <w:bCs w:val="false"/>
                <w:sz w:val="20"/>
                <w:szCs w:val="20"/>
              </w:rPr>
              <w:t xml:space="preserve">Dual-Drug TTP</w:t>
            </w:r>
          </w:p>
        </w:tc>
        <w:tc>
          <w:p>
            <w:pPr>
              <w:spacing w:after="40" w:before="40"/>
              <w:jc w:val="center"/>
            </w:pPr>
            <w:r>
              <w:rPr>
                <w:rFonts w:ascii="Times New Roman" w:cs="Times New Roman" w:eastAsia="Times New Roman" w:hAnsi="Times New Roman"/>
                <w:b w:val="false"/>
                <w:bCs w:val="false"/>
                <w:sz w:val="20"/>
                <w:szCs w:val="20"/>
              </w:rPr>
              <w:t xml:space="preserve">360 days all 8 patients</w:t>
            </w:r>
          </w:p>
        </w:tc>
        <w:tc>
          <w:p>
            <w:pPr>
              <w:spacing w:after="40" w:before="40"/>
              <w:jc w:val="center"/>
            </w:pPr>
            <w:r>
              <w:rPr>
                <w:rFonts w:ascii="Times New Roman" w:cs="Times New Roman" w:eastAsia="Times New Roman" w:hAnsi="Times New Roman"/>
                <w:b w:val="false"/>
                <w:bCs w:val="false"/>
                <w:sz w:val="20"/>
                <w:szCs w:val="20"/>
              </w:rPr>
              <w:t xml:space="preserve">vs MTD 281–296 days</w:t>
            </w:r>
          </w:p>
        </w:tc>
      </w:tr>
      <w:tr>
        <w:tc>
          <w:p>
            <w:pPr>
              <w:spacing w:after="40" w:before="40"/>
              <w:jc w:val="center"/>
            </w:pPr>
            <w:r>
              <w:rPr>
                <w:rFonts w:ascii="Times New Roman" w:cs="Times New Roman" w:eastAsia="Times New Roman" w:hAnsi="Times New Roman"/>
                <w:b w:val="false"/>
                <w:bCs w:val="false"/>
                <w:sz w:val="20"/>
                <w:szCs w:val="20"/>
              </w:rPr>
              <w:t xml:space="preserve">Dual-Drug Resistant Fraction</w:t>
            </w:r>
          </w:p>
        </w:tc>
        <w:tc>
          <w:p>
            <w:pPr>
              <w:spacing w:after="40" w:before="40"/>
              <w:jc w:val="center"/>
            </w:pPr>
            <w:r>
              <w:rPr>
                <w:rFonts w:ascii="Times New Roman" w:cs="Times New Roman" w:eastAsia="Times New Roman" w:hAnsi="Times New Roman"/>
                <w:b w:val="false"/>
                <w:bCs w:val="false"/>
                <w:sz w:val="20"/>
                <w:szCs w:val="20"/>
              </w:rPr>
              <w:t xml:space="preserve">0.038</w:t>
            </w:r>
          </w:p>
        </w:tc>
        <w:tc>
          <w:p>
            <w:pPr>
              <w:spacing w:after="40" w:before="40"/>
              <w:jc w:val="center"/>
            </w:pPr>
            <w:r>
              <w:rPr>
                <w:rFonts w:ascii="Times New Roman" w:cs="Times New Roman" w:eastAsia="Times New Roman" w:hAnsi="Times New Roman"/>
                <w:b w:val="false"/>
                <w:bCs w:val="false"/>
                <w:sz w:val="20"/>
                <w:szCs w:val="20"/>
              </w:rPr>
              <w:t xml:space="preserve">vs MTD ~1.0</w:t>
            </w:r>
          </w:p>
        </w:tc>
      </w:tr>
    </w:tbl>
    <w:p>
      <w:pPr>
        <w:spacing w:after="60" w:before="60"/>
      </w:pPr>
      <w:r>
        <w:t xml:space="preserve"/>
      </w:r>
    </w:p>
    <w:p>
      <w:pPr>
        <w:pStyle w:val="Heading2"/>
        <w:spacing w:after="80" w:before="240"/>
      </w:pPr>
      <w:r>
        <w:rPr>
          <w:rFonts w:ascii="Times New Roman" w:cs="Times New Roman" w:eastAsia="Times New Roman" w:hAnsi="Times New Roman"/>
          <w:b/>
          <w:bCs/>
          <w:sz w:val="26"/>
          <w:szCs w:val="26"/>
        </w:rPr>
        <w:t xml:space="preserve">Table 3. Track C RL Adaptive vs. Standard Stupp (64³ evaluation)</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1800"/>
        <w:gridCol w:w="1800"/>
        <w:gridCol w:w="2700"/>
      </w:tblGrid>
      <w:tr>
        <w:trPr>
          <w:tblHeader/>
        </w:trPr>
        <w:tc>
          <w:tcPr>
            <w:shd w:fill="D9D9D9" w:val="clear"/>
          </w:tcPr>
          <w:p>
            <w:pPr>
              <w:spacing w:after="40" w:before="40"/>
              <w:jc w:val="center"/>
            </w:pPr>
            <w:r>
              <w:rPr>
                <w:rFonts w:ascii="Times New Roman" w:cs="Times New Roman" w:eastAsia="Times New Roman" w:hAnsi="Times New Roman"/>
                <w:b/>
                <w:bCs/>
                <w:sz w:val="20"/>
                <w:szCs w:val="20"/>
              </w:rPr>
              <w:t xml:space="preserve">Metric</w:t>
            </w:r>
          </w:p>
        </w:tc>
        <w:tc>
          <w:tcPr>
            <w:shd w:fill="D9D9D9" w:val="clear"/>
          </w:tcPr>
          <w:p>
            <w:pPr>
              <w:spacing w:after="40" w:before="40"/>
              <w:jc w:val="center"/>
            </w:pPr>
            <w:r>
              <w:rPr>
                <w:rFonts w:ascii="Times New Roman" w:cs="Times New Roman" w:eastAsia="Times New Roman" w:hAnsi="Times New Roman"/>
                <w:b/>
                <w:bCs/>
                <w:sz w:val="20"/>
                <w:szCs w:val="20"/>
              </w:rPr>
              <w:t xml:space="preserve">RL Adaptive</w:t>
            </w:r>
          </w:p>
        </w:tc>
        <w:tc>
          <w:tcPr>
            <w:shd w:fill="D9D9D9" w:val="clear"/>
          </w:tcPr>
          <w:p>
            <w:pPr>
              <w:spacing w:after="40" w:before="40"/>
              <w:jc w:val="center"/>
            </w:pPr>
            <w:r>
              <w:rPr>
                <w:rFonts w:ascii="Times New Roman" w:cs="Times New Roman" w:eastAsia="Times New Roman" w:hAnsi="Times New Roman"/>
                <w:b/>
                <w:bCs/>
                <w:sz w:val="20"/>
                <w:szCs w:val="20"/>
              </w:rPr>
              <w:t xml:space="preserve">Standard Stupp</w:t>
            </w:r>
          </w:p>
        </w:tc>
        <w:tc>
          <w:tcPr>
            <w:shd w:fill="D9D9D9" w:val="clear"/>
          </w:tcPr>
          <w:p>
            <w:pPr>
              <w:spacing w:after="40" w:before="40"/>
              <w:jc w:val="center"/>
            </w:pPr>
            <w:r>
              <w:rPr>
                <w:rFonts w:ascii="Times New Roman" w:cs="Times New Roman" w:eastAsia="Times New Roman" w:hAnsi="Times New Roman"/>
                <w:b/>
                <w:bCs/>
                <w:sz w:val="20"/>
                <w:szCs w:val="20"/>
              </w:rPr>
              <w:t xml:space="preserve">Effect</w:t>
            </w:r>
          </w:p>
        </w:tc>
      </w:tr>
      <w:tr>
        <w:tc>
          <w:p>
            <w:pPr>
              <w:spacing w:after="40" w:before="40"/>
              <w:jc w:val="center"/>
            </w:pPr>
            <w:r>
              <w:rPr>
                <w:rFonts w:ascii="Times New Roman" w:cs="Times New Roman" w:eastAsia="Times New Roman" w:hAnsi="Times New Roman"/>
                <w:b w:val="false"/>
                <w:bCs w:val="false"/>
                <w:sz w:val="20"/>
                <w:szCs w:val="20"/>
              </w:rPr>
              <w:t xml:space="preserve">Final Tumor Volume (Day 90)</w:t>
            </w:r>
          </w:p>
        </w:tc>
        <w:tc>
          <w:p>
            <w:pPr>
              <w:spacing w:after="40" w:before="40"/>
              <w:jc w:val="center"/>
            </w:pPr>
            <w:r>
              <w:rPr>
                <w:rFonts w:ascii="Times New Roman" w:cs="Times New Roman" w:eastAsia="Times New Roman" w:hAnsi="Times New Roman"/>
                <w:b w:val="false"/>
                <w:bCs w:val="false"/>
                <w:sz w:val="20"/>
                <w:szCs w:val="20"/>
              </w:rPr>
              <w:t xml:space="preserve">1.04 mm³</w:t>
            </w:r>
          </w:p>
        </w:tc>
        <w:tc>
          <w:p>
            <w:pPr>
              <w:spacing w:after="40" w:before="40"/>
              <w:jc w:val="center"/>
            </w:pPr>
            <w:r>
              <w:rPr>
                <w:rFonts w:ascii="Times New Roman" w:cs="Times New Roman" w:eastAsia="Times New Roman" w:hAnsi="Times New Roman"/>
                <w:b w:val="false"/>
                <w:bCs w:val="false"/>
                <w:sz w:val="20"/>
                <w:szCs w:val="20"/>
              </w:rPr>
              <w:t xml:space="preserve">11.01 mm³</w:t>
            </w:r>
          </w:p>
        </w:tc>
        <w:tc>
          <w:p>
            <w:pPr>
              <w:spacing w:after="40" w:before="40"/>
              <w:jc w:val="center"/>
            </w:pPr>
            <w:r>
              <w:rPr>
                <w:rFonts w:ascii="Times New Roman" w:cs="Times New Roman" w:eastAsia="Times New Roman" w:hAnsi="Times New Roman"/>
                <w:b w:val="false"/>
                <w:bCs w:val="false"/>
                <w:sz w:val="20"/>
                <w:szCs w:val="20"/>
              </w:rPr>
              <w:t xml:space="preserve">10.6× reduction</w:t>
            </w:r>
          </w:p>
        </w:tc>
      </w:tr>
      <w:tr>
        <w:tc>
          <w:p>
            <w:pPr>
              <w:spacing w:after="40" w:before="40"/>
              <w:jc w:val="center"/>
            </w:pPr>
            <w:r>
              <w:rPr>
                <w:rFonts w:ascii="Times New Roman" w:cs="Times New Roman" w:eastAsia="Times New Roman" w:hAnsi="Times New Roman"/>
                <w:b w:val="false"/>
                <w:bCs w:val="false"/>
                <w:sz w:val="20"/>
                <w:szCs w:val="20"/>
              </w:rPr>
              <w:t xml:space="preserve">Peak Cellularity (u_max)</w:t>
            </w:r>
          </w:p>
        </w:tc>
        <w:tc>
          <w:p>
            <w:pPr>
              <w:spacing w:after="40" w:before="40"/>
              <w:jc w:val="center"/>
            </w:pPr>
            <w:r>
              <w:rPr>
                <w:rFonts w:ascii="Times New Roman" w:cs="Times New Roman" w:eastAsia="Times New Roman" w:hAnsi="Times New Roman"/>
                <w:b w:val="false"/>
                <w:bCs w:val="false"/>
                <w:sz w:val="20"/>
                <w:szCs w:val="20"/>
              </w:rPr>
              <w:t xml:space="preserve">0.02</w:t>
            </w:r>
          </w:p>
        </w:tc>
        <w:tc>
          <w:p>
            <w:pPr>
              <w:spacing w:after="40" w:before="40"/>
              <w:jc w:val="center"/>
            </w:pPr>
            <w:r>
              <w:rPr>
                <w:rFonts w:ascii="Times New Roman" w:cs="Times New Roman" w:eastAsia="Times New Roman" w:hAnsi="Times New Roman"/>
                <w:b w:val="false"/>
                <w:bCs w:val="false"/>
                <w:sz w:val="20"/>
                <w:szCs w:val="20"/>
              </w:rPr>
              <w:t xml:space="preserve">0.15</w:t>
            </w:r>
          </w:p>
        </w:tc>
        <w:tc>
          <w:p>
            <w:pPr>
              <w:spacing w:after="40" w:before="40"/>
              <w:jc w:val="center"/>
            </w:pPr>
            <w:r>
              <w:rPr>
                <w:rFonts w:ascii="Times New Roman" w:cs="Times New Roman" w:eastAsia="Times New Roman" w:hAnsi="Times New Roman"/>
                <w:b w:val="false"/>
                <w:bCs w:val="false"/>
                <w:sz w:val="20"/>
                <w:szCs w:val="20"/>
              </w:rPr>
              <w:t xml:space="preserve">7.5× lower</w:t>
            </w:r>
          </w:p>
        </w:tc>
      </w:tr>
      <w:tr>
        <w:tc>
          <w:p>
            <w:pPr>
              <w:spacing w:after="40" w:before="40"/>
              <w:jc w:val="center"/>
            </w:pPr>
            <w:r>
              <w:rPr>
                <w:rFonts w:ascii="Times New Roman" w:cs="Times New Roman" w:eastAsia="Times New Roman" w:hAnsi="Times New Roman"/>
                <w:b w:val="false"/>
                <w:bCs w:val="false"/>
                <w:sz w:val="20"/>
                <w:szCs w:val="20"/>
              </w:rPr>
              <w:t xml:space="preserve">Time-to-Progression</w:t>
            </w:r>
          </w:p>
        </w:tc>
        <w:tc>
          <w:p>
            <w:pPr>
              <w:spacing w:after="40" w:before="40"/>
              <w:jc w:val="center"/>
            </w:pPr>
            <w:r>
              <w:rPr>
                <w:rFonts w:ascii="Times New Roman" w:cs="Times New Roman" w:eastAsia="Times New Roman" w:hAnsi="Times New Roman"/>
                <w:b w:val="false"/>
                <w:bCs w:val="false"/>
                <w:sz w:val="20"/>
                <w:szCs w:val="20"/>
              </w:rPr>
              <w:t xml:space="preserve">&gt;90 days</w:t>
            </w:r>
          </w:p>
        </w:tc>
        <w:tc>
          <w:p>
            <w:pPr>
              <w:spacing w:after="40" w:before="40"/>
              <w:jc w:val="center"/>
            </w:pPr>
            <w:r>
              <w:rPr>
                <w:rFonts w:ascii="Times New Roman" w:cs="Times New Roman" w:eastAsia="Times New Roman" w:hAnsi="Times New Roman"/>
                <w:b w:val="false"/>
                <w:bCs w:val="false"/>
                <w:sz w:val="20"/>
                <w:szCs w:val="20"/>
              </w:rPr>
              <w:t xml:space="preserve">42 days</w:t>
            </w:r>
          </w:p>
        </w:tc>
        <w:tc>
          <w:p>
            <w:pPr>
              <w:spacing w:after="40" w:before="40"/>
              <w:jc w:val="center"/>
            </w:pPr>
            <w:r>
              <w:rPr>
                <w:rFonts w:ascii="Times New Roman" w:cs="Times New Roman" w:eastAsia="Times New Roman" w:hAnsi="Times New Roman"/>
                <w:b w:val="false"/>
                <w:bCs w:val="false"/>
                <w:sz w:val="20"/>
                <w:szCs w:val="20"/>
              </w:rPr>
              <w:t xml:space="preserve">2.1× delay</w:t>
            </w:r>
          </w:p>
        </w:tc>
      </w:tr>
      <w:tr>
        <w:tc>
          <w:p>
            <w:pPr>
              <w:spacing w:after="40" w:before="40"/>
              <w:jc w:val="center"/>
            </w:pPr>
            <w:r>
              <w:rPr>
                <w:rFonts w:ascii="Times New Roman" w:cs="Times New Roman" w:eastAsia="Times New Roman" w:hAnsi="Times New Roman"/>
                <w:b w:val="false"/>
                <w:bCs w:val="false"/>
                <w:sz w:val="20"/>
                <w:szCs w:val="20"/>
              </w:rPr>
              <w:t xml:space="preserve">Cumulative Drug Exposure</w:t>
            </w:r>
          </w:p>
        </w:tc>
        <w:tc>
          <w:p>
            <w:pPr>
              <w:spacing w:after="40" w:before="40"/>
              <w:jc w:val="center"/>
            </w:pPr>
            <w:r>
              <w:rPr>
                <w:rFonts w:ascii="Times New Roman" w:cs="Times New Roman" w:eastAsia="Times New Roman" w:hAnsi="Times New Roman"/>
                <w:b w:val="false"/>
                <w:bCs w:val="false"/>
                <w:sz w:val="20"/>
                <w:szCs w:val="20"/>
              </w:rPr>
              <w:t xml:space="preserve">87%</w:t>
            </w:r>
          </w:p>
        </w:tc>
        <w:tc>
          <w:p>
            <w:pPr>
              <w:spacing w:after="40" w:before="40"/>
              <w:jc w:val="center"/>
            </w:pPr>
            <w:r>
              <w:rPr>
                <w:rFonts w:ascii="Times New Roman" w:cs="Times New Roman" w:eastAsia="Times New Roman" w:hAnsi="Times New Roman"/>
                <w:b w:val="false"/>
                <w:bCs w:val="false"/>
                <w:sz w:val="20"/>
                <w:szCs w:val="20"/>
              </w:rPr>
              <w:t xml:space="preserve">100%</w:t>
            </w:r>
          </w:p>
        </w:tc>
        <w:tc>
          <w:p>
            <w:pPr>
              <w:spacing w:after="40" w:before="40"/>
              <w:jc w:val="center"/>
            </w:pPr>
            <w:r>
              <w:rPr>
                <w:rFonts w:ascii="Times New Roman" w:cs="Times New Roman" w:eastAsia="Times New Roman" w:hAnsi="Times New Roman"/>
                <w:b w:val="false"/>
                <w:bCs w:val="false"/>
                <w:sz w:val="20"/>
                <w:szCs w:val="20"/>
              </w:rPr>
              <w:t xml:space="preserve">13% reduction</w:t>
            </w:r>
          </w:p>
        </w:tc>
      </w:tr>
      <w:tr>
        <w:tc>
          <w:p>
            <w:pPr>
              <w:spacing w:after="40" w:before="40"/>
              <w:jc w:val="center"/>
            </w:pPr>
            <w:r>
              <w:rPr>
                <w:rFonts w:ascii="Times New Roman" w:cs="Times New Roman" w:eastAsia="Times New Roman" w:hAnsi="Times New Roman"/>
                <w:b w:val="false"/>
                <w:bCs w:val="false"/>
                <w:sz w:val="20"/>
                <w:szCs w:val="20"/>
              </w:rPr>
              <w:t xml:space="preserve">Outcome CV (5 seeds)</w:t>
            </w:r>
          </w:p>
        </w:tc>
        <w:tc>
          <w:p>
            <w:pPr>
              <w:spacing w:after="40" w:before="40"/>
              <w:jc w:val="center"/>
            </w:pPr>
            <w:r>
              <w:rPr>
                <w:rFonts w:ascii="Times New Roman" w:cs="Times New Roman" w:eastAsia="Times New Roman" w:hAnsi="Times New Roman"/>
                <w:b w:val="false"/>
                <w:bCs w:val="false"/>
                <w:sz w:val="20"/>
                <w:szCs w:val="20"/>
              </w:rPr>
              <w:t xml:space="preserve">0.3</w:t>
            </w:r>
          </w:p>
        </w:tc>
        <w:tc>
          <w:p>
            <w:pPr>
              <w:spacing w:after="40" w:before="40"/>
              <w:jc w:val="center"/>
            </w:pPr>
            <w:r>
              <w:rPr>
                <w:rFonts w:ascii="Times New Roman" w:cs="Times New Roman" w:eastAsia="Times New Roman" w:hAnsi="Times New Roman"/>
                <w:b w:val="false"/>
                <w:bCs w:val="false"/>
                <w:sz w:val="20"/>
                <w:szCs w:val="20"/>
              </w:rPr>
              <w:t xml:space="preserve">0.8</w:t>
            </w:r>
          </w:p>
        </w:tc>
        <w:tc>
          <w:p>
            <w:pPr>
              <w:spacing w:after="40" w:before="40"/>
              <w:jc w:val="center"/>
            </w:pPr>
            <w:r>
              <w:rPr>
                <w:rFonts w:ascii="Times New Roman" w:cs="Times New Roman" w:eastAsia="Times New Roman" w:hAnsi="Times New Roman"/>
                <w:b w:val="false"/>
                <w:bCs w:val="false"/>
                <w:sz w:val="20"/>
                <w:szCs w:val="20"/>
              </w:rPr>
              <w:t xml:space="preserve">More consistent</w:t>
            </w:r>
          </w:p>
        </w:tc>
      </w:tr>
    </w:tbl>
    <w:p>
      <w:pPr>
        <w:spacing w:after="60" w:before="60"/>
      </w:pPr>
      <w:r>
        <w:t xml:space="preserve"/>
      </w:r>
    </w:p>
    <w:p>
      <w:pPr>
        <w:pStyle w:val="Heading2"/>
        <w:spacing w:after="80" w:before="240"/>
      </w:pPr>
      <w:r>
        <w:rPr>
          <w:rFonts w:ascii="Times New Roman" w:cs="Times New Roman" w:eastAsia="Times New Roman" w:hAnsi="Times New Roman"/>
          <w:b/>
          <w:bCs/>
          <w:sz w:val="26"/>
          <w:szCs w:val="26"/>
        </w:rPr>
        <w:t xml:space="preserve">Table 4. RL Biomarker Stratification</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2000"/>
        <w:gridCol w:w="4300"/>
      </w:tblGrid>
      <w:tr>
        <w:trPr>
          <w:tblHeader/>
        </w:trPr>
        <w:tc>
          <w:tcPr>
            <w:shd w:fill="D9D9D9" w:val="clear"/>
          </w:tcPr>
          <w:p>
            <w:pPr>
              <w:spacing w:after="40" w:before="40"/>
              <w:jc w:val="center"/>
            </w:pPr>
            <w:r>
              <w:rPr>
                <w:rFonts w:ascii="Times New Roman" w:cs="Times New Roman" w:eastAsia="Times New Roman" w:hAnsi="Times New Roman"/>
                <w:b/>
                <w:bCs/>
                <w:sz w:val="20"/>
                <w:szCs w:val="20"/>
              </w:rPr>
              <w:t xml:space="preserve">Proliferation Rate ρ</w:t>
            </w:r>
          </w:p>
        </w:tc>
        <w:tc>
          <w:tcPr>
            <w:shd w:fill="D9D9D9" w:val="clear"/>
          </w:tcPr>
          <w:p>
            <w:pPr>
              <w:spacing w:after="40" w:before="40"/>
              <w:jc w:val="center"/>
            </w:pPr>
            <w:r>
              <w:rPr>
                <w:rFonts w:ascii="Times New Roman" w:cs="Times New Roman" w:eastAsia="Times New Roman" w:hAnsi="Times New Roman"/>
                <w:b/>
                <w:bCs/>
                <w:sz w:val="20"/>
                <w:szCs w:val="20"/>
              </w:rPr>
              <w:t xml:space="preserve">RL Win Rate</w:t>
            </w:r>
          </w:p>
        </w:tc>
        <w:tc>
          <w:tcPr>
            <w:shd w:fill="D9D9D9" w:val="clear"/>
          </w:tcPr>
          <w:p>
            <w:pPr>
              <w:spacing w:after="40" w:before="40"/>
              <w:jc w:val="center"/>
            </w:pPr>
            <w:r>
              <w:rPr>
                <w:rFonts w:ascii="Times New Roman" w:cs="Times New Roman" w:eastAsia="Times New Roman" w:hAnsi="Times New Roman"/>
                <w:b/>
                <w:bCs/>
                <w:sz w:val="20"/>
                <w:szCs w:val="20"/>
              </w:rPr>
              <w:t xml:space="preserve">Recommendation</w:t>
            </w:r>
          </w:p>
        </w:tc>
      </w:tr>
      <w:tr>
        <w:tc>
          <w:p>
            <w:pPr>
              <w:spacing w:after="40" w:before="40"/>
              <w:jc w:val="center"/>
            </w:pPr>
            <w:r>
              <w:rPr>
                <w:rFonts w:ascii="Times New Roman" w:cs="Times New Roman" w:eastAsia="Times New Roman" w:hAnsi="Times New Roman"/>
                <w:b w:val="false"/>
                <w:bCs w:val="false"/>
                <w:sz w:val="20"/>
                <w:szCs w:val="20"/>
              </w:rPr>
              <w:t xml:space="preserve">ρ &gt; 0.025 day⁻¹ (high)</w:t>
            </w:r>
          </w:p>
        </w:tc>
        <w:tc>
          <w:p>
            <w:pPr>
              <w:spacing w:after="40" w:before="40"/>
              <w:jc w:val="center"/>
            </w:pPr>
            <w:r>
              <w:rPr>
                <w:rFonts w:ascii="Times New Roman" w:cs="Times New Roman" w:eastAsia="Times New Roman" w:hAnsi="Times New Roman"/>
                <w:b w:val="false"/>
                <w:bCs w:val="false"/>
                <w:sz w:val="20"/>
                <w:szCs w:val="20"/>
              </w:rPr>
              <w:t xml:space="preserve">&gt;80%</w:t>
            </w:r>
          </w:p>
        </w:tc>
        <w:tc>
          <w:p>
            <w:pPr>
              <w:spacing w:after="40" w:before="40"/>
              <w:jc w:val="center"/>
            </w:pPr>
            <w:r>
              <w:rPr>
                <w:rFonts w:ascii="Times New Roman" w:cs="Times New Roman" w:eastAsia="Times New Roman" w:hAnsi="Times New Roman"/>
                <w:b w:val="false"/>
                <w:bCs w:val="false"/>
                <w:sz w:val="20"/>
                <w:szCs w:val="20"/>
              </w:rPr>
              <w:t xml:space="preserve">RL Adaptive preferred</w:t>
            </w:r>
          </w:p>
        </w:tc>
      </w:tr>
      <w:tr>
        <w:tc>
          <w:p>
            <w:pPr>
              <w:spacing w:after="40" w:before="40"/>
              <w:jc w:val="center"/>
            </w:pPr>
            <w:r>
              <w:rPr>
                <w:rFonts w:ascii="Times New Roman" w:cs="Times New Roman" w:eastAsia="Times New Roman" w:hAnsi="Times New Roman"/>
                <w:b w:val="false"/>
                <w:bCs w:val="false"/>
                <w:sz w:val="20"/>
                <w:szCs w:val="20"/>
              </w:rPr>
              <w:t xml:space="preserve">0.019 ≤ ρ ≤ 0.025 day⁻¹ (intermediate)</w:t>
            </w:r>
          </w:p>
        </w:tc>
        <w:tc>
          <w:p>
            <w:pPr>
              <w:spacing w:after="40" w:before="40"/>
              <w:jc w:val="center"/>
            </w:pPr>
            <w:r>
              <w:rPr>
                <w:rFonts w:ascii="Times New Roman" w:cs="Times New Roman" w:eastAsia="Times New Roman" w:hAnsi="Times New Roman"/>
                <w:b w:val="false"/>
                <w:bCs w:val="false"/>
                <w:sz w:val="20"/>
                <w:szCs w:val="20"/>
              </w:rPr>
              <w:t xml:space="preserve">~50–60%</w:t>
            </w:r>
          </w:p>
        </w:tc>
        <w:tc>
          <w:p>
            <w:pPr>
              <w:spacing w:after="40" w:before="40"/>
              <w:jc w:val="center"/>
            </w:pPr>
            <w:r>
              <w:rPr>
                <w:rFonts w:ascii="Times New Roman" w:cs="Times New Roman" w:eastAsia="Times New Roman" w:hAnsi="Times New Roman"/>
                <w:b w:val="false"/>
                <w:bCs w:val="false"/>
                <w:sz w:val="20"/>
                <w:szCs w:val="20"/>
              </w:rPr>
              <w:t xml:space="preserve">Indeterminate; consider individual factors</w:t>
            </w:r>
          </w:p>
        </w:tc>
      </w:tr>
      <w:tr>
        <w:tc>
          <w:p>
            <w:pPr>
              <w:spacing w:after="40" w:before="40"/>
              <w:jc w:val="center"/>
            </w:pPr>
            <w:r>
              <w:rPr>
                <w:rFonts w:ascii="Times New Roman" w:cs="Times New Roman" w:eastAsia="Times New Roman" w:hAnsi="Times New Roman"/>
                <w:b w:val="false"/>
                <w:bCs w:val="false"/>
                <w:sz w:val="20"/>
                <w:szCs w:val="20"/>
              </w:rPr>
              <w:t xml:space="preserve">ρ &lt; 0.019 day⁻¹ (low)</w:t>
            </w:r>
          </w:p>
        </w:tc>
        <w:tc>
          <w:p>
            <w:pPr>
              <w:spacing w:after="40" w:before="40"/>
              <w:jc w:val="center"/>
            </w:pPr>
            <w:r>
              <w:rPr>
                <w:rFonts w:ascii="Times New Roman" w:cs="Times New Roman" w:eastAsia="Times New Roman" w:hAnsi="Times New Roman"/>
                <w:b w:val="false"/>
                <w:bCs w:val="false"/>
                <w:sz w:val="20"/>
                <w:szCs w:val="20"/>
              </w:rPr>
              <w:t xml:space="preserve">&lt;30%</w:t>
            </w:r>
          </w:p>
        </w:tc>
        <w:tc>
          <w:p>
            <w:pPr>
              <w:spacing w:after="40" w:before="40"/>
              <w:jc w:val="center"/>
            </w:pPr>
            <w:r>
              <w:rPr>
                <w:rFonts w:ascii="Times New Roman" w:cs="Times New Roman" w:eastAsia="Times New Roman" w:hAnsi="Times New Roman"/>
                <w:b w:val="false"/>
                <w:bCs w:val="false"/>
                <w:sz w:val="20"/>
                <w:szCs w:val="20"/>
              </w:rPr>
              <w:t xml:space="preserve">Standard Stupp non-inferior</w:t>
            </w:r>
          </w:p>
        </w:tc>
      </w:tr>
    </w:tbl>
    <w:p>
      <w:r>
        <w:br w:type="page"/>
      </w:r>
    </w:p>
    <w:p>
      <w:pPr>
        <w:pStyle w:val="Heading1"/>
        <w:spacing w:after="120" w:before="320"/>
      </w:pPr>
      <w:r>
        <w:t xml:space="preserve">Acknowledgements</w:t>
      </w:r>
      <w:r>
        <w:rPr>
          <w:rFonts w:ascii="Times New Roman" w:cs="Times New Roman" w:eastAsia="Times New Roman" w:hAnsi="Times New Roman"/>
          <w:b/>
          <w:bCs/>
          <w:caps/>
          <w:sz w:val="28"/>
          <w:szCs w:val="28"/>
        </w:rPr>
        <w:t xml:space="preserve">Acknowledgements</w:t>
      </w:r>
    </w:p>
    <w:p>
      <w:pPr>
        <w:spacing w:after="60" w:before="60" w:line="360" w:lineRule="auto"/>
        <w:jc w:val="both"/>
      </w:pPr>
      <w:r>
        <w:rPr>
          <w:rFonts w:ascii="Times New Roman" w:cs="Times New Roman" w:eastAsia="Times New Roman" w:hAnsi="Times New Roman"/>
          <w:sz w:val="24"/>
          <w:szCs w:val="24"/>
        </w:rPr>
        <w:t xml:space="preserve">The author thanks the open-source computational biology community for the tools and libraries that made this work possible, including SALib, Gymnasium, PyTorch, scikit-learn, NumPy, SciPy, and matplotlib. Single-cell data were obtained from the UCSC Cell Browser. No funding was received for this work.</w:t>
      </w:r>
    </w:p>
    <w:p>
      <w:pPr>
        <w:spacing w:after="60" w:before="60"/>
      </w:pPr>
      <w:r>
        <w:t xml:space="preserve"/>
      </w:r>
    </w:p>
    <w:p>
      <w:pPr>
        <w:pStyle w:val="Heading1"/>
        <w:spacing w:after="120" w:before="320"/>
      </w:pPr>
      <w:r>
        <w:t xml:space="preserve">Data and Code Availability</w:t>
      </w:r>
      <w:r>
        <w:rPr>
          <w:rFonts w:ascii="Times New Roman" w:cs="Times New Roman" w:eastAsia="Times New Roman" w:hAnsi="Times New Roman"/>
          <w:b/>
          <w:bCs/>
          <w:caps/>
          <w:sz w:val="28"/>
          <w:szCs w:val="28"/>
        </w:rPr>
        <w:t xml:space="preserve">Data and Code Availability</w:t>
      </w:r>
    </w:p>
    <w:p>
      <w:pPr>
        <w:spacing w:after="60" w:before="60" w:line="360" w:lineRule="auto"/>
        <w:jc w:val="both"/>
      </w:pPr>
      <w:r>
        <w:rPr>
          <w:rFonts w:ascii="Times New Roman" w:cs="Times New Roman" w:eastAsia="Times New Roman" w:hAnsi="Times New Roman"/>
          <w:sz w:val="24"/>
          <w:szCs w:val="24"/>
        </w:rPr>
        <w:t xml:space="preserve">All code, scripts, and generated results are publicly available at https://github.com/vihansanthosh516-byte/Glioblastoma-Anisotropic-PDE-Adaptive-Therapy under MIT License. Raw single-cell data are available from the UCSC Cell Browser (multiomic-gbm dataset). Trained model weights (FNO, PPO chronotherapy) are included in the repository. All synthetic cohort parameters and generation scripts are included for full reproducibility.</w:t>
      </w:r>
    </w:p>
    <w:p>
      <w:pPr>
        <w:spacing w:after="60" w:before="60"/>
      </w:pPr>
      <w:r>
        <w:t xml:space="preserve"/>
      </w:r>
    </w:p>
    <w:p>
      <w:pPr>
        <w:pStyle w:val="Heading1"/>
        <w:spacing w:after="120" w:before="320"/>
      </w:pPr>
      <w:r>
        <w:t xml:space="preserve">Conflict of Interest</w:t>
      </w:r>
      <w:r>
        <w:rPr>
          <w:rFonts w:ascii="Times New Roman" w:cs="Times New Roman" w:eastAsia="Times New Roman" w:hAnsi="Times New Roman"/>
          <w:b/>
          <w:bCs/>
          <w:caps/>
          <w:sz w:val="28"/>
          <w:szCs w:val="28"/>
        </w:rPr>
        <w:t xml:space="preserve">Conflict of Interest</w:t>
      </w:r>
    </w:p>
    <w:p>
      <w:pPr>
        <w:spacing w:after="60" w:before="60" w:line="360" w:lineRule="auto"/>
        <w:jc w:val="both"/>
      </w:pPr>
      <w:r>
        <w:rPr>
          <w:rFonts w:ascii="Times New Roman" w:cs="Times New Roman" w:eastAsia="Times New Roman" w:hAnsi="Times New Roman"/>
          <w:sz w:val="24"/>
          <w:szCs w:val="24"/>
        </w:rPr>
        <w:t xml:space="preserve">The author declares no conflict of interest.</w:t>
      </w:r>
    </w:p>
    <w:p>
      <w:r>
        <w:br w:type="page"/>
      </w:r>
    </w:p>
    <w:p>
      <w:pPr>
        <w:pStyle w:val="Heading1"/>
        <w:spacing w:after="120" w:before="320"/>
      </w:pPr>
      <w:r>
        <w:t xml:space="preserve">References</w:t>
      </w:r>
      <w:r>
        <w:rPr>
          <w:rFonts w:ascii="Times New Roman" w:cs="Times New Roman" w:eastAsia="Times New Roman" w:hAnsi="Times New Roman"/>
          <w:b/>
          <w:bCs/>
          <w:caps/>
          <w:sz w:val="28"/>
          <w:szCs w:val="28"/>
        </w:rPr>
        <w:t xml:space="preserve">References</w:t>
      </w:r>
    </w:p>
    <w:p>
      <w:pPr>
        <w:spacing w:after="60" w:before="60" w:line="360" w:lineRule="auto"/>
        <w:jc w:val="both"/>
      </w:pPr>
      <w:r>
        <w:rPr>
          <w:rFonts w:ascii="Times New Roman" w:cs="Times New Roman" w:eastAsia="Times New Roman" w:hAnsi="Times New Roman"/>
          <w:sz w:val="24"/>
          <w:szCs w:val="24"/>
        </w:rPr>
        <w:t xml:space="preserve">[1] Stupp R, et al. (2005). Radiotherapy plus concomitant and adjuvant temozolomide for glioblastoma. N Engl J Med, 352(10), 987–996.</w:t>
      </w:r>
    </w:p>
    <w:p>
      <w:pPr>
        <w:spacing w:after="60" w:before="60" w:line="360" w:lineRule="auto"/>
        <w:jc w:val="both"/>
      </w:pPr>
      <w:r>
        <w:rPr>
          <w:rFonts w:ascii="Times New Roman" w:cs="Times New Roman" w:eastAsia="Times New Roman" w:hAnsi="Times New Roman"/>
          <w:sz w:val="24"/>
          <w:szCs w:val="24"/>
        </w:rPr>
        <w:t xml:space="preserve">[2] Neftel C, et al. (2019). An integrative model of cellular states, plasticity, and genetics for glioblastoma. Cell, 178(4), 835–849.</w:t>
      </w:r>
    </w:p>
    <w:p>
      <w:pPr>
        <w:spacing w:after="60" w:before="60" w:line="360" w:lineRule="auto"/>
        <w:jc w:val="both"/>
      </w:pPr>
      <w:r>
        <w:rPr>
          <w:rFonts w:ascii="Times New Roman" w:cs="Times New Roman" w:eastAsia="Times New Roman" w:hAnsi="Times New Roman"/>
          <w:sz w:val="24"/>
          <w:szCs w:val="24"/>
        </w:rPr>
        <w:t xml:space="preserve">[3] Patel AP, et al. (2014). Single-cell RNA-seq highlights intratumoral heterogeneity in primary glioblastoma. Science, 344(6190), 1396–1401.</w:t>
      </w:r>
    </w:p>
    <w:p>
      <w:pPr>
        <w:spacing w:after="60" w:before="60" w:line="360" w:lineRule="auto"/>
        <w:jc w:val="both"/>
      </w:pPr>
      <w:r>
        <w:rPr>
          <w:rFonts w:ascii="Times New Roman" w:cs="Times New Roman" w:eastAsia="Times New Roman" w:hAnsi="Times New Roman"/>
          <w:sz w:val="24"/>
          <w:szCs w:val="24"/>
        </w:rPr>
        <w:t xml:space="preserve">[4] Swanson KR, et al. (2000). A quantitative model for differential motility of gliomas in grey and white matter. Cell Prolif, 33(5), 317–329.</w:t>
      </w:r>
    </w:p>
    <w:p>
      <w:pPr>
        <w:spacing w:after="60" w:before="60" w:line="360" w:lineRule="auto"/>
        <w:jc w:val="both"/>
      </w:pPr>
      <w:r>
        <w:rPr>
          <w:rFonts w:ascii="Times New Roman" w:cs="Times New Roman" w:eastAsia="Times New Roman" w:hAnsi="Times New Roman"/>
          <w:sz w:val="24"/>
          <w:szCs w:val="24"/>
        </w:rPr>
        <w:t xml:space="preserve">[5] Jbabdi S, et al. (2005). Simulation of anisotropic growth of low-grade gliomas using diffusion tensor imaging. Magn Reson Med, 54(3), 616–624.</w:t>
      </w:r>
    </w:p>
    <w:p>
      <w:pPr>
        <w:spacing w:after="60" w:before="60" w:line="360" w:lineRule="auto"/>
        <w:jc w:val="both"/>
      </w:pPr>
      <w:r>
        <w:rPr>
          <w:rFonts w:ascii="Times New Roman" w:cs="Times New Roman" w:eastAsia="Times New Roman" w:hAnsi="Times New Roman"/>
          <w:sz w:val="24"/>
          <w:szCs w:val="24"/>
        </w:rPr>
        <w:t xml:space="preserve">[6] Gatenby RA, et al. (2019). Integrating evolutionary dynamics into cancer therapy. Nat Rev Clin Oncol, 16(4), 201–206.</w:t>
      </w:r>
    </w:p>
    <w:p>
      <w:pPr>
        <w:spacing w:after="60" w:before="60" w:line="360" w:lineRule="auto"/>
        <w:jc w:val="both"/>
      </w:pPr>
      <w:r>
        <w:rPr>
          <w:rFonts w:ascii="Times New Roman" w:cs="Times New Roman" w:eastAsia="Times New Roman" w:hAnsi="Times New Roman"/>
          <w:sz w:val="24"/>
          <w:szCs w:val="24"/>
        </w:rPr>
        <w:t xml:space="preserve">[7] West J, et al. (2018). Multidrug cancer therapy in metastatic castrate-resistant prostate cancer: an evolution-based strategy. Clin Cancer Res, 25(16), 4413–4421.</w:t>
      </w:r>
    </w:p>
    <w:p>
      <w:pPr>
        <w:spacing w:after="60" w:before="60" w:line="360" w:lineRule="auto"/>
        <w:jc w:val="both"/>
      </w:pPr>
      <w:r>
        <w:rPr>
          <w:rFonts w:ascii="Times New Roman" w:cs="Times New Roman" w:eastAsia="Times New Roman" w:hAnsi="Times New Roman"/>
          <w:sz w:val="24"/>
          <w:szCs w:val="24"/>
        </w:rPr>
        <w:t xml:space="preserve">[8] Li Z, et al. (2021). Fourier neural operator for parametric partial differential equations. ICLR 2021.</w:t>
      </w:r>
    </w:p>
    <w:p>
      <w:pPr>
        <w:spacing w:after="60" w:before="60" w:line="360" w:lineRule="auto"/>
        <w:jc w:val="both"/>
      </w:pPr>
      <w:r>
        <w:rPr>
          <w:rFonts w:ascii="Times New Roman" w:cs="Times New Roman" w:eastAsia="Times New Roman" w:hAnsi="Times New Roman"/>
          <w:sz w:val="24"/>
          <w:szCs w:val="24"/>
        </w:rPr>
        <w:t xml:space="preserve">[9] Hamilton W, et al. (2017). Inductive representation learning on large graphs. NeurIPS 2017.</w:t>
      </w:r>
    </w:p>
    <w:p>
      <w:pPr>
        <w:spacing w:after="60" w:before="60" w:line="360" w:lineRule="auto"/>
        <w:jc w:val="both"/>
      </w:pPr>
      <w:r>
        <w:rPr>
          <w:rFonts w:ascii="Times New Roman" w:cs="Times New Roman" w:eastAsia="Times New Roman" w:hAnsi="Times New Roman"/>
          <w:sz w:val="24"/>
          <w:szCs w:val="24"/>
        </w:rPr>
        <w:t xml:space="preserve">[10] Sutton RS, Barto AG. (2018). Reinforcement Learning: An Introduction. MIT Press.</w:t>
      </w:r>
    </w:p>
    <w:p>
      <w:pPr>
        <w:spacing w:after="60" w:before="60" w:line="360" w:lineRule="auto"/>
        <w:jc w:val="both"/>
      </w:pPr>
      <w:r>
        <w:rPr>
          <w:rFonts w:ascii="Times New Roman" w:cs="Times New Roman" w:eastAsia="Times New Roman" w:hAnsi="Times New Roman"/>
          <w:sz w:val="24"/>
          <w:szCs w:val="24"/>
        </w:rPr>
        <w:t xml:space="preserve">[11] Murray JD. (2003). Mathematical Biology II: Spatial Models and Biomedical Applications. Springer.</w:t>
      </w:r>
    </w:p>
    <w:p>
      <w:pPr>
        <w:spacing w:after="60" w:before="60" w:line="360" w:lineRule="auto"/>
        <w:jc w:val="both"/>
      </w:pPr>
      <w:r>
        <w:rPr>
          <w:rFonts w:ascii="Times New Roman" w:cs="Times New Roman" w:eastAsia="Times New Roman" w:hAnsi="Times New Roman"/>
          <w:sz w:val="24"/>
          <w:szCs w:val="24"/>
        </w:rPr>
        <w:t xml:space="preserve">[12] Swanson KR, et al. (2003). Virtual and real brain tumors: using mathematical modeling to quantify glioma growth and invasion. J Neurol Sci, 216(1), 1–10.</w:t>
      </w:r>
    </w:p>
    <w:p>
      <w:pPr>
        <w:spacing w:after="60" w:before="60" w:line="360" w:lineRule="auto"/>
        <w:jc w:val="both"/>
      </w:pPr>
      <w:r>
        <w:rPr>
          <w:rFonts w:ascii="Times New Roman" w:cs="Times New Roman" w:eastAsia="Times New Roman" w:hAnsi="Times New Roman"/>
          <w:sz w:val="24"/>
          <w:szCs w:val="24"/>
        </w:rPr>
        <w:t xml:space="preserve">[13] Baldock AL, et al. (2014). From patient-specific mathematical neuro-oncology to precision medicine. Front Oncol, 3, 62.</w:t>
      </w:r>
    </w:p>
    <w:p>
      <w:pPr>
        <w:spacing w:after="60" w:before="60" w:line="360" w:lineRule="auto"/>
        <w:jc w:val="both"/>
      </w:pPr>
      <w:r>
        <w:rPr>
          <w:rFonts w:ascii="Times New Roman" w:cs="Times New Roman" w:eastAsia="Times New Roman" w:hAnsi="Times New Roman"/>
          <w:sz w:val="24"/>
          <w:szCs w:val="24"/>
        </w:rPr>
        <w:t xml:space="preserve">[14] Bao S, et al. (2006). Glioma stem cells promote radioresistance by preferential activation of the DNA damage response. Nature, 444(7120), 756–760.</w:t>
      </w:r>
    </w:p>
    <w:p>
      <w:pPr>
        <w:spacing w:after="60" w:before="60" w:line="360" w:lineRule="auto"/>
        <w:jc w:val="both"/>
      </w:pPr>
      <w:r>
        <w:rPr>
          <w:rFonts w:ascii="Times New Roman" w:cs="Times New Roman" w:eastAsia="Times New Roman" w:hAnsi="Times New Roman"/>
          <w:sz w:val="24"/>
          <w:szCs w:val="24"/>
        </w:rPr>
        <w:t xml:space="preserve">[15] Najib S, et al. (2004). Apolipoprotein D is a potential biomarker for glioblastoma. Eur J Cancer, 40(1), 2609–2618.</w:t>
      </w:r>
    </w:p>
    <w:p>
      <w:pPr>
        <w:spacing w:after="60" w:before="60" w:line="360" w:lineRule="auto"/>
        <w:jc w:val="both"/>
      </w:pPr>
      <w:r>
        <w:rPr>
          <w:rFonts w:ascii="Times New Roman" w:cs="Times New Roman" w:eastAsia="Times New Roman" w:hAnsi="Times New Roman"/>
          <w:sz w:val="24"/>
          <w:szCs w:val="24"/>
        </w:rPr>
        <w:t xml:space="preserve">[16] Bhatt DL, et al. (2020). S100B protein in glioblastoma biology. Biomarkers, 15(3), 279–284.</w:t>
      </w:r>
    </w:p>
    <w:p>
      <w:pPr>
        <w:spacing w:after="60" w:before="60" w:line="360" w:lineRule="auto"/>
        <w:jc w:val="both"/>
      </w:pPr>
      <w:r>
        <w:rPr>
          <w:rFonts w:ascii="Times New Roman" w:cs="Times New Roman" w:eastAsia="Times New Roman" w:hAnsi="Times New Roman"/>
          <w:sz w:val="24"/>
          <w:szCs w:val="24"/>
        </w:rPr>
        <w:t xml:space="preserve">[17] Garrett SH, et al. (1998). Metallothionein-3 expression in the human CNS and in brain tumors. Cancer Lett, 127(1–2), 155–165.</w:t>
      </w:r>
    </w:p>
    <w:p>
      <w:pPr>
        <w:spacing w:after="60" w:before="60" w:line="360" w:lineRule="auto"/>
        <w:jc w:val="both"/>
      </w:pPr>
      <w:r>
        <w:rPr>
          <w:rFonts w:ascii="Times New Roman" w:cs="Times New Roman" w:eastAsia="Times New Roman" w:hAnsi="Times New Roman"/>
          <w:sz w:val="24"/>
          <w:szCs w:val="24"/>
        </w:rPr>
        <w:t xml:space="preserve">[18] Stensjøen AL, et al. (2015). Growth dynamics of untreated glioblastomas in vivo. Neuro Oncol, 17(10), 1402–1411.</w:t>
      </w:r>
    </w:p>
    <w:p>
      <w:pPr>
        <w:spacing w:after="60" w:before="60" w:line="360" w:lineRule="auto"/>
        <w:jc w:val="both"/>
      </w:pPr>
      <w:r>
        <w:rPr>
          <w:rFonts w:ascii="Times New Roman" w:cs="Times New Roman" w:eastAsia="Times New Roman" w:hAnsi="Times New Roman"/>
          <w:sz w:val="24"/>
          <w:szCs w:val="24"/>
        </w:rPr>
        <w:t xml:space="preserve">[19] Kim Y, et al. (2015). Regulation of glioblastoma multiforme stem cell growth by tumor microenvironment factor TGF-β. PLoS One, 10(6), e0130645.</w:t>
      </w:r>
    </w:p>
    <w:p>
      <w:pPr>
        <w:spacing w:after="60" w:before="60" w:line="360" w:lineRule="auto"/>
        <w:jc w:val="both"/>
      </w:pPr>
      <w:r>
        <w:rPr>
          <w:rFonts w:ascii="Times New Roman" w:cs="Times New Roman" w:eastAsia="Times New Roman" w:hAnsi="Times New Roman"/>
          <w:sz w:val="24"/>
          <w:szCs w:val="24"/>
        </w:rPr>
        <w:t xml:space="preserve">[20] Cheng W, et al. (2019). EGFR amplification-dependent expression of EGFR mutation is a predictor for the benefit from EGFR-targeted therapy. Theranostics, 9(19), 5503–5516.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GBM Multi-Scale Computational Framework</dc:title>
  <dc:creator>Vihan Santhosh</dc:creator>
  <dc:description>Full manuscript: A Multi-Scale Computational Framework for Glioblastoma</dc:description>
  <cp:lastModifiedBy>Un-named</cp:lastModifiedBy>
  <cp:revision>1</cp:revision>
  <dcterms:created xsi:type="dcterms:W3CDTF">2026-07-29T19:02:15.417Z</dcterms:created>
  <dcterms:modified xsi:type="dcterms:W3CDTF">2026-07-29T19:02:15.438Z</dcterms:modified>
</cp:coreProperties>
</file>

<file path=docProps/custom.xml><?xml version="1.0" encoding="utf-8"?>
<Properties xmlns="http://schemas.openxmlformats.org/officeDocument/2006/custom-properties" xmlns:vt="http://schemas.openxmlformats.org/officeDocument/2006/docPropsVTypes"/>
</file>