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928" w:rsidRPr="00292E00" w:rsidRDefault="00EB086F" w:rsidP="00EB086F">
      <w:pPr>
        <w:spacing w:after="0"/>
        <w:jc w:val="center"/>
        <w:rPr>
          <w:b/>
          <w:sz w:val="24"/>
          <w:u w:val="single"/>
        </w:rPr>
      </w:pPr>
      <w:r w:rsidRPr="00292E00">
        <w:rPr>
          <w:b/>
          <w:sz w:val="24"/>
          <w:u w:val="single"/>
        </w:rPr>
        <w:t>G</w:t>
      </w:r>
      <w:r w:rsidR="006667D3" w:rsidRPr="00292E00">
        <w:rPr>
          <w:b/>
          <w:sz w:val="24"/>
          <w:u w:val="single"/>
        </w:rPr>
        <w:t>ROUP HANDOVER PROCEDURE</w:t>
      </w:r>
      <w:r w:rsidRPr="00292E00">
        <w:rPr>
          <w:b/>
          <w:sz w:val="24"/>
          <w:u w:val="single"/>
        </w:rPr>
        <w:t xml:space="preserve"> CHECKLIST</w:t>
      </w:r>
    </w:p>
    <w:p w:rsidR="00EB086F" w:rsidRPr="005B3928" w:rsidRDefault="00EB086F" w:rsidP="00EB086F">
      <w:pPr>
        <w:spacing w:after="0"/>
        <w:jc w:val="center"/>
        <w:rPr>
          <w:sz w:val="24"/>
          <w:szCs w:val="24"/>
        </w:rPr>
      </w:pPr>
    </w:p>
    <w:p w:rsidR="005B3928" w:rsidRDefault="005B3928" w:rsidP="005B3928">
      <w:pPr>
        <w:tabs>
          <w:tab w:val="left" w:pos="2700"/>
        </w:tabs>
        <w:spacing w:line="280" w:lineRule="exact"/>
        <w:jc w:val="both"/>
        <w:rPr>
          <w:sz w:val="22"/>
        </w:rPr>
      </w:pPr>
      <w:r w:rsidRPr="005B3928">
        <w:rPr>
          <w:sz w:val="22"/>
        </w:rPr>
        <w:t xml:space="preserve">Details or copies of the following, where applicable, should be provided to the incoming jobholder. You should indicate which of the following categories apply by </w:t>
      </w:r>
      <w:r w:rsidRPr="005B3928">
        <w:rPr>
          <w:sz w:val="22"/>
          <w:u w:val="single"/>
        </w:rPr>
        <w:t>deleting Y or N (below) as appropriate</w:t>
      </w:r>
      <w:r w:rsidRPr="005B3928">
        <w:rPr>
          <w:sz w:val="22"/>
        </w:rPr>
        <w:t>:-</w:t>
      </w:r>
    </w:p>
    <w:tbl>
      <w:tblPr>
        <w:tblStyle w:val="TableGrid"/>
        <w:tblW w:w="0" w:type="auto"/>
        <w:tblInd w:w="108" w:type="dxa"/>
        <w:tblLook w:val="04A0" w:firstRow="1" w:lastRow="0" w:firstColumn="1" w:lastColumn="0" w:noHBand="0" w:noVBand="1"/>
      </w:tblPr>
      <w:tblGrid>
        <w:gridCol w:w="8416"/>
        <w:gridCol w:w="1438"/>
      </w:tblGrid>
      <w:tr w:rsidR="005B3928" w:rsidRPr="005B3928" w:rsidTr="00EB086F">
        <w:tc>
          <w:tcPr>
            <w:tcW w:w="8416" w:type="dxa"/>
          </w:tcPr>
          <w:p w:rsidR="005B3928" w:rsidRPr="005B3928" w:rsidRDefault="005B3928" w:rsidP="00D14074">
            <w:pPr>
              <w:tabs>
                <w:tab w:val="left" w:pos="2700"/>
              </w:tabs>
              <w:spacing w:line="280" w:lineRule="exact"/>
              <w:ind w:left="3"/>
              <w:jc w:val="both"/>
              <w:rPr>
                <w:sz w:val="22"/>
              </w:rPr>
            </w:pPr>
            <w:r w:rsidRPr="005B3928">
              <w:rPr>
                <w:b/>
                <w:bCs/>
                <w:sz w:val="22"/>
              </w:rPr>
              <w:t>Area</w:t>
            </w:r>
            <w:r w:rsidRPr="005B3928">
              <w:rPr>
                <w:b/>
                <w:bCs/>
                <w:sz w:val="22"/>
              </w:rPr>
              <w:tab/>
            </w:r>
            <w:r w:rsidRPr="005B3928">
              <w:rPr>
                <w:b/>
                <w:bCs/>
                <w:sz w:val="22"/>
              </w:rPr>
              <w:tab/>
            </w:r>
            <w:r w:rsidRPr="005B3928">
              <w:rPr>
                <w:b/>
                <w:bCs/>
                <w:sz w:val="22"/>
              </w:rPr>
              <w:tab/>
            </w:r>
            <w:r w:rsidRPr="005B3928">
              <w:rPr>
                <w:sz w:val="22"/>
              </w:rPr>
              <w:t xml:space="preserve"> </w:t>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Applicable</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bCs/>
                <w:sz w:val="22"/>
              </w:rPr>
              <w:t xml:space="preserve">Organisation - </w:t>
            </w:r>
            <w:r w:rsidRPr="005B3928">
              <w:rPr>
                <w:bCs/>
                <w:sz w:val="22"/>
              </w:rPr>
              <w:t>Organisation structure(s), locally incorporated entities, special agreements, committee composition and minutes (for example, Global Business Management Group, Country Management Group, Country Operational Risk Committee), job description and objectives, delegated authorities, scorecards and supporting metrics pack</w:t>
            </w:r>
          </w:p>
        </w:tc>
        <w:tc>
          <w:tcPr>
            <w:tcW w:w="1438" w:type="dxa"/>
          </w:tcPr>
          <w:p w:rsidR="005B3928" w:rsidRPr="005B3928" w:rsidRDefault="005B3928" w:rsidP="00D14074">
            <w:pPr>
              <w:tabs>
                <w:tab w:val="left" w:pos="2700"/>
              </w:tabs>
              <w:spacing w:line="280" w:lineRule="exact"/>
              <w:jc w:val="center"/>
              <w:rPr>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bCs/>
                <w:sz w:val="22"/>
              </w:rPr>
              <w:t>Strategy and Business</w:t>
            </w:r>
            <w:r w:rsidRPr="005B3928">
              <w:rPr>
                <w:sz w:val="22"/>
              </w:rPr>
              <w:t xml:space="preserve"> - Strategy and business plan, competitor analysis, projects in progress, product programmes</w:t>
            </w:r>
            <w:r w:rsidRPr="005B3928">
              <w:rPr>
                <w:sz w:val="22"/>
              </w:rPr>
              <w:tab/>
            </w:r>
            <w:r w:rsidRPr="005B3928">
              <w:rPr>
                <w:sz w:val="22"/>
              </w:rPr>
              <w:tab/>
            </w:r>
            <w:r w:rsidRPr="005B3928">
              <w:rPr>
                <w:sz w:val="22"/>
              </w:rPr>
              <w:tab/>
            </w:r>
            <w:r w:rsidRPr="005B3928">
              <w:rPr>
                <w:sz w:val="22"/>
              </w:rPr>
              <w:tab/>
              <w:t xml:space="preserve"> </w:t>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rPr>
          <w:trHeight w:val="892"/>
        </w:trPr>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bCs/>
                <w:sz w:val="22"/>
              </w:rPr>
              <w:t>Financial Management -</w:t>
            </w:r>
            <w:r w:rsidRPr="005B3928">
              <w:rPr>
                <w:sz w:val="22"/>
              </w:rPr>
              <w:t xml:space="preserve"> Budgets and stretch targets, current performance and forecast for the year, individual business performance, bad debts, Management Group pack, cost centre reconciliation report</w:t>
            </w:r>
            <w:r w:rsidRPr="005B3928">
              <w:rPr>
                <w:sz w:val="22"/>
              </w:rPr>
              <w:tab/>
              <w:t>.</w:t>
            </w:r>
            <w:r w:rsidRPr="005B3928">
              <w:rPr>
                <w:sz w:val="22"/>
              </w:rPr>
              <w:tab/>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bCs/>
                <w:sz w:val="22"/>
              </w:rPr>
              <w:t>Customer and Franchise Management</w:t>
            </w:r>
            <w:r w:rsidRPr="005B3928">
              <w:rPr>
                <w:sz w:val="22"/>
              </w:rPr>
              <w:t xml:space="preserve"> - Executive sponsorships, customer meetings and key sensitive issues, branding, community projects, service quality initiatives, communication plan </w:t>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bCs/>
                <w:sz w:val="22"/>
              </w:rPr>
              <w:t>Corporate Governance</w:t>
            </w:r>
            <w:r w:rsidRPr="005B3928">
              <w:rPr>
                <w:sz w:val="22"/>
              </w:rPr>
              <w:t xml:space="preserve"> - Government relations plan, regulator relations, material legal disputes, outstanding regulatory or government issues, governance issues (for example, KYC and AML), internal, external and regulatory audit reports together with action plans, BCP, DR and Crisis Management Plan</w:t>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1F3504">
              <w:rPr>
                <w:b/>
                <w:bCs/>
                <w:sz w:val="22"/>
              </w:rPr>
              <w:t>Risk</w:t>
            </w:r>
            <w:r w:rsidRPr="001F3504">
              <w:rPr>
                <w:sz w:val="22"/>
              </w:rPr>
              <w:t xml:space="preserve"> - Outstanding risk issues (credit, market, operational, reputational, regulatory, other) and implications with proposed action plan and responsibility; CORC, BCP and DR plans and telephone cascade For operational risk areas, specifically include details of any Risk Control Owner responsibilities, highlighting relevant aspects of the process universe(particularly processes that are categorized as “High” risk), any PGC, CORC and/or Country Management Team discussions and any outstanding “Risk Acceptances”.</w:t>
            </w:r>
            <w:r w:rsidRPr="005B3928">
              <w:rPr>
                <w:sz w:val="22"/>
              </w:rPr>
              <w:tab/>
              <w:t xml:space="preserve"> </w:t>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sz w:val="22"/>
              </w:rPr>
              <w:t>Regulatory</w:t>
            </w:r>
            <w:r w:rsidRPr="005B3928">
              <w:rPr>
                <w:sz w:val="22"/>
              </w:rPr>
              <w:t xml:space="preserve"> - Details of any unresolved or possible breaches of regulatory requirements and any unresolved concerns expressed by the FCA, PRA or any other regulator.</w:t>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bCs/>
                <w:sz w:val="22"/>
              </w:rPr>
              <w:t>Staff and Talent Management -</w:t>
            </w:r>
            <w:r w:rsidRPr="005B3928">
              <w:rPr>
                <w:sz w:val="22"/>
              </w:rPr>
              <w:t xml:space="preserve"> Engagement survey results and action plans, succession plans for key positions, HIPOs and Critical Resources, management trainees, talent development initiatives, performance review and appraisals of direct reports, any staff commitments, union issues, any other important staff matters </w:t>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2700"/>
              </w:tabs>
              <w:spacing w:line="280" w:lineRule="exact"/>
              <w:ind w:left="357" w:hanging="357"/>
              <w:jc w:val="both"/>
              <w:rPr>
                <w:sz w:val="22"/>
              </w:rPr>
            </w:pPr>
            <w:r w:rsidRPr="005B3928">
              <w:rPr>
                <w:b/>
                <w:bCs/>
                <w:sz w:val="22"/>
              </w:rPr>
              <w:t>Tasks in Progress -</w:t>
            </w:r>
            <w:r w:rsidRPr="005B3928">
              <w:rPr>
                <w:sz w:val="22"/>
              </w:rPr>
              <w:t xml:space="preserve"> Status of progress, the location of relevant files and documents, proposed actions and responsibility</w:t>
            </w:r>
            <w:r w:rsidRPr="005B3928">
              <w:rPr>
                <w:sz w:val="22"/>
              </w:rPr>
              <w:tab/>
            </w:r>
            <w:r w:rsidRPr="005B3928">
              <w:rPr>
                <w:sz w:val="22"/>
              </w:rPr>
              <w:tab/>
            </w:r>
            <w:r w:rsidRPr="005B3928">
              <w:rPr>
                <w:sz w:val="22"/>
              </w:rPr>
              <w:tab/>
            </w:r>
            <w:r w:rsidRPr="005B3928">
              <w:rPr>
                <w:sz w:val="22"/>
              </w:rPr>
              <w:tab/>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360"/>
              </w:tabs>
              <w:jc w:val="both"/>
              <w:rPr>
                <w:sz w:val="22"/>
              </w:rPr>
            </w:pPr>
            <w:r w:rsidRPr="005B3928">
              <w:rPr>
                <w:b/>
                <w:bCs/>
                <w:sz w:val="22"/>
              </w:rPr>
              <w:t xml:space="preserve">Administration - </w:t>
            </w:r>
            <w:r w:rsidRPr="005B3928">
              <w:rPr>
                <w:sz w:val="22"/>
              </w:rPr>
              <w:t xml:space="preserve"> Keys, confidential files or papers</w:t>
            </w:r>
            <w:r w:rsidRPr="005B3928">
              <w:rPr>
                <w:sz w:val="22"/>
              </w:rPr>
              <w:tab/>
            </w:r>
            <w:r w:rsidRPr="005B3928">
              <w:rPr>
                <w:sz w:val="22"/>
              </w:rPr>
              <w:tab/>
            </w:r>
            <w:r w:rsidRPr="005B3928">
              <w:rPr>
                <w:sz w:val="22"/>
              </w:rPr>
              <w:tab/>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r w:rsidR="005B3928" w:rsidRPr="005B3928" w:rsidTr="00EB086F">
        <w:tc>
          <w:tcPr>
            <w:tcW w:w="8416" w:type="dxa"/>
          </w:tcPr>
          <w:p w:rsidR="005B3928" w:rsidRPr="005B3928" w:rsidRDefault="005B3928" w:rsidP="00D14074">
            <w:pPr>
              <w:numPr>
                <w:ilvl w:val="0"/>
                <w:numId w:val="23"/>
              </w:numPr>
              <w:tabs>
                <w:tab w:val="left" w:pos="360"/>
              </w:tabs>
              <w:jc w:val="both"/>
              <w:rPr>
                <w:sz w:val="22"/>
              </w:rPr>
            </w:pPr>
            <w:r w:rsidRPr="005B3928">
              <w:rPr>
                <w:b/>
                <w:bCs/>
                <w:sz w:val="22"/>
              </w:rPr>
              <w:t xml:space="preserve">Other Significant Issues - </w:t>
            </w:r>
            <w:r w:rsidRPr="005B3928">
              <w:rPr>
                <w:sz w:val="22"/>
              </w:rPr>
              <w:t xml:space="preserve"> Any items not covered above</w:t>
            </w:r>
            <w:r w:rsidRPr="005B3928">
              <w:rPr>
                <w:sz w:val="22"/>
              </w:rPr>
              <w:tab/>
            </w:r>
            <w:r w:rsidRPr="005B3928">
              <w:rPr>
                <w:sz w:val="22"/>
              </w:rPr>
              <w:tab/>
            </w:r>
          </w:p>
        </w:tc>
        <w:tc>
          <w:tcPr>
            <w:tcW w:w="1438" w:type="dxa"/>
          </w:tcPr>
          <w:p w:rsidR="005B3928" w:rsidRPr="005B3928" w:rsidRDefault="005B3928" w:rsidP="00D14074">
            <w:pPr>
              <w:tabs>
                <w:tab w:val="left" w:pos="2700"/>
              </w:tabs>
              <w:spacing w:line="280" w:lineRule="exact"/>
              <w:jc w:val="center"/>
              <w:rPr>
                <w:b/>
                <w:bCs/>
                <w:sz w:val="22"/>
              </w:rPr>
            </w:pPr>
            <w:r w:rsidRPr="005B3928">
              <w:rPr>
                <w:b/>
                <w:bCs/>
                <w:sz w:val="22"/>
              </w:rPr>
              <w:t>(Y / N)</w:t>
            </w:r>
          </w:p>
        </w:tc>
      </w:tr>
    </w:tbl>
    <w:p w:rsidR="00EB086F" w:rsidRDefault="00EB086F" w:rsidP="005B3928">
      <w:pPr>
        <w:jc w:val="both"/>
        <w:rPr>
          <w:bCs/>
          <w:sz w:val="22"/>
        </w:rPr>
      </w:pPr>
    </w:p>
    <w:p w:rsidR="003E2FA0" w:rsidRDefault="005B3928" w:rsidP="003E2FA0">
      <w:pPr>
        <w:jc w:val="both"/>
        <w:rPr>
          <w:bCs/>
          <w:sz w:val="22"/>
        </w:rPr>
      </w:pPr>
      <w:r w:rsidRPr="005B3928">
        <w:rPr>
          <w:bCs/>
          <w:sz w:val="22"/>
        </w:rPr>
        <w:t>It is important that the handover document is designed to be practical and helpful to the incoming jobholder, not just a record of issues. It should therefore include judgement and opinion of the outgoing jobholder, not just facts and figures. It should also include an assessment of what issues should be prioritised.</w:t>
      </w:r>
    </w:p>
    <w:p w:rsidR="00341097" w:rsidRPr="007B5E13" w:rsidRDefault="00341097" w:rsidP="003E2FA0">
      <w:pPr>
        <w:jc w:val="both"/>
        <w:rPr>
          <w:rFonts w:cs="Arial"/>
          <w:szCs w:val="20"/>
        </w:rPr>
      </w:pPr>
    </w:p>
    <w:sectPr w:rsidR="00341097" w:rsidRPr="007B5E13" w:rsidSect="0075203F">
      <w:pgSz w:w="11906" w:h="16838" w:code="9"/>
      <w:pgMar w:top="990" w:right="1080" w:bottom="12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371" w:rsidRDefault="00880371" w:rsidP="00F5578B">
      <w:pPr>
        <w:spacing w:after="0"/>
      </w:pPr>
      <w:r>
        <w:separator/>
      </w:r>
    </w:p>
  </w:endnote>
  <w:endnote w:type="continuationSeparator" w:id="0">
    <w:p w:rsidR="00880371" w:rsidRDefault="00880371" w:rsidP="00F55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371" w:rsidRDefault="00880371" w:rsidP="00F5578B">
      <w:pPr>
        <w:spacing w:after="0"/>
      </w:pPr>
      <w:r>
        <w:separator/>
      </w:r>
    </w:p>
  </w:footnote>
  <w:footnote w:type="continuationSeparator" w:id="0">
    <w:p w:rsidR="00880371" w:rsidRDefault="00880371" w:rsidP="00F557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9F8"/>
    <w:multiLevelType w:val="multilevel"/>
    <w:tmpl w:val="3DE00346"/>
    <w:lvl w:ilvl="0">
      <w:start w:val="1"/>
      <w:numFmt w:val="decimal"/>
      <w:lvlText w:val="%1."/>
      <w:lvlJc w:val="left"/>
      <w:pPr>
        <w:tabs>
          <w:tab w:val="num" w:pos="720"/>
        </w:tabs>
        <w:ind w:left="720" w:hanging="360"/>
      </w:pPr>
      <w:rPr>
        <w:rFonts w:cs="Times New Roman" w:hint="default"/>
        <w:sz w:val="24"/>
      </w:rPr>
    </w:lvl>
    <w:lvl w:ilvl="1">
      <w:start w:val="2"/>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A13AC4"/>
    <w:multiLevelType w:val="hybridMultilevel"/>
    <w:tmpl w:val="723CD31A"/>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0D006221"/>
    <w:multiLevelType w:val="hybridMultilevel"/>
    <w:tmpl w:val="2328FC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944A5"/>
    <w:multiLevelType w:val="multilevel"/>
    <w:tmpl w:val="ABAA25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87E85"/>
    <w:multiLevelType w:val="multilevel"/>
    <w:tmpl w:val="29040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D2C63"/>
    <w:multiLevelType w:val="hybridMultilevel"/>
    <w:tmpl w:val="18CEE72C"/>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6" w15:restartNumberingAfterBreak="0">
    <w:nsid w:val="1ED4633D"/>
    <w:multiLevelType w:val="multilevel"/>
    <w:tmpl w:val="ABAA25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57335"/>
    <w:multiLevelType w:val="hybridMultilevel"/>
    <w:tmpl w:val="FDDA22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0E1D2F"/>
    <w:multiLevelType w:val="hybridMultilevel"/>
    <w:tmpl w:val="84D68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F2340D"/>
    <w:multiLevelType w:val="multilevel"/>
    <w:tmpl w:val="A1084764"/>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C130FFA"/>
    <w:multiLevelType w:val="hybridMultilevel"/>
    <w:tmpl w:val="A470D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67662"/>
    <w:multiLevelType w:val="hybridMultilevel"/>
    <w:tmpl w:val="DFB491BA"/>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15:restartNumberingAfterBreak="0">
    <w:nsid w:val="36440AD8"/>
    <w:multiLevelType w:val="hybridMultilevel"/>
    <w:tmpl w:val="B1D263A8"/>
    <w:lvl w:ilvl="0" w:tplc="0C825DAA">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B101911"/>
    <w:multiLevelType w:val="hybridMultilevel"/>
    <w:tmpl w:val="D1A65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643602"/>
    <w:multiLevelType w:val="hybridMultilevel"/>
    <w:tmpl w:val="6A6C1A9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3D425A81"/>
    <w:multiLevelType w:val="multilevel"/>
    <w:tmpl w:val="89E240C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E131B"/>
    <w:multiLevelType w:val="hybridMultilevel"/>
    <w:tmpl w:val="2F7022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C92B9C"/>
    <w:multiLevelType w:val="hybridMultilevel"/>
    <w:tmpl w:val="6BE6CB32"/>
    <w:lvl w:ilvl="0" w:tplc="21C851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396A44"/>
    <w:multiLevelType w:val="hybridMultilevel"/>
    <w:tmpl w:val="12EC23C4"/>
    <w:lvl w:ilvl="0" w:tplc="EA4C0A6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23ABA"/>
    <w:multiLevelType w:val="hybridMultilevel"/>
    <w:tmpl w:val="66041A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89087A"/>
    <w:multiLevelType w:val="hybridMultilevel"/>
    <w:tmpl w:val="B16E6D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365DB6"/>
    <w:multiLevelType w:val="hybridMultilevel"/>
    <w:tmpl w:val="C02CF3FC"/>
    <w:lvl w:ilvl="0" w:tplc="BFFCB43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DA215E"/>
    <w:multiLevelType w:val="multilevel"/>
    <w:tmpl w:val="6AB65A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85F3D"/>
    <w:multiLevelType w:val="multilevel"/>
    <w:tmpl w:val="F81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709DB"/>
    <w:multiLevelType w:val="hybridMultilevel"/>
    <w:tmpl w:val="9272A4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0E4881"/>
    <w:multiLevelType w:val="hybridMultilevel"/>
    <w:tmpl w:val="377ABAB6"/>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6D8A17BE"/>
    <w:multiLevelType w:val="hybridMultilevel"/>
    <w:tmpl w:val="1A78DDF8"/>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7" w15:restartNumberingAfterBreak="0">
    <w:nsid w:val="778A3C17"/>
    <w:multiLevelType w:val="multilevel"/>
    <w:tmpl w:val="28E89C72"/>
    <w:lvl w:ilvl="0">
      <w:start w:val="1"/>
      <w:numFmt w:val="decimal"/>
      <w:lvlText w:val="%1."/>
      <w:lvlJc w:val="left"/>
      <w:pPr>
        <w:tabs>
          <w:tab w:val="num" w:pos="720"/>
        </w:tabs>
        <w:ind w:left="720" w:hanging="360"/>
      </w:pPr>
      <w:rPr>
        <w:rFonts w:hint="default"/>
        <w:strike w:val="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17FBC"/>
    <w:multiLevelType w:val="multilevel"/>
    <w:tmpl w:val="5304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612B8"/>
    <w:multiLevelType w:val="hybridMultilevel"/>
    <w:tmpl w:val="98B84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8"/>
  </w:num>
  <w:num w:numId="3">
    <w:abstractNumId w:val="18"/>
  </w:num>
  <w:num w:numId="4">
    <w:abstractNumId w:val="17"/>
  </w:num>
  <w:num w:numId="5">
    <w:abstractNumId w:val="17"/>
  </w:num>
  <w:num w:numId="6">
    <w:abstractNumId w:val="18"/>
  </w:num>
  <w:num w:numId="7">
    <w:abstractNumId w:val="3"/>
  </w:num>
  <w:num w:numId="8">
    <w:abstractNumId w:val="28"/>
  </w:num>
  <w:num w:numId="9">
    <w:abstractNumId w:val="4"/>
  </w:num>
  <w:num w:numId="10">
    <w:abstractNumId w:val="27"/>
  </w:num>
  <w:num w:numId="11">
    <w:abstractNumId w:val="6"/>
  </w:num>
  <w:num w:numId="12">
    <w:abstractNumId w:val="23"/>
  </w:num>
  <w:num w:numId="13">
    <w:abstractNumId w:val="22"/>
  </w:num>
  <w:num w:numId="14">
    <w:abstractNumId w:val="15"/>
  </w:num>
  <w:num w:numId="15">
    <w:abstractNumId w:val="0"/>
  </w:num>
  <w:num w:numId="16">
    <w:abstractNumId w:val="12"/>
  </w:num>
  <w:num w:numId="17">
    <w:abstractNumId w:val="25"/>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5"/>
  </w:num>
  <w:num w:numId="24">
    <w:abstractNumId w:val="1"/>
  </w:num>
  <w:num w:numId="25">
    <w:abstractNumId w:val="16"/>
  </w:num>
  <w:num w:numId="26">
    <w:abstractNumId w:val="24"/>
  </w:num>
  <w:num w:numId="27">
    <w:abstractNumId w:val="2"/>
  </w:num>
  <w:num w:numId="28">
    <w:abstractNumId w:val="19"/>
  </w:num>
  <w:num w:numId="29">
    <w:abstractNumId w:val="8"/>
  </w:num>
  <w:num w:numId="30">
    <w:abstractNumId w:val="20"/>
  </w:num>
  <w:num w:numId="31">
    <w:abstractNumId w:val="21"/>
  </w:num>
  <w:num w:numId="32">
    <w:abstractNumId w:val="13"/>
  </w:num>
  <w:num w:numId="33">
    <w:abstractNumId w:val="29"/>
  </w:num>
  <w:num w:numId="34">
    <w:abstractNumId w:val="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8B"/>
    <w:rsid w:val="000223F9"/>
    <w:rsid w:val="00022784"/>
    <w:rsid w:val="00026800"/>
    <w:rsid w:val="00026C0B"/>
    <w:rsid w:val="00034281"/>
    <w:rsid w:val="0003751F"/>
    <w:rsid w:val="00043996"/>
    <w:rsid w:val="0004792A"/>
    <w:rsid w:val="0005216C"/>
    <w:rsid w:val="000531AC"/>
    <w:rsid w:val="000532B0"/>
    <w:rsid w:val="000619CD"/>
    <w:rsid w:val="00070C5C"/>
    <w:rsid w:val="00076A1E"/>
    <w:rsid w:val="000854FA"/>
    <w:rsid w:val="00087C3B"/>
    <w:rsid w:val="000A26D3"/>
    <w:rsid w:val="000A2792"/>
    <w:rsid w:val="000B7B94"/>
    <w:rsid w:val="000C2ED4"/>
    <w:rsid w:val="000C39F8"/>
    <w:rsid w:val="000E1AF8"/>
    <w:rsid w:val="000E5748"/>
    <w:rsid w:val="00116673"/>
    <w:rsid w:val="001411EC"/>
    <w:rsid w:val="00144DC8"/>
    <w:rsid w:val="001504E2"/>
    <w:rsid w:val="00157498"/>
    <w:rsid w:val="00191221"/>
    <w:rsid w:val="001B1F05"/>
    <w:rsid w:val="001B2C9D"/>
    <w:rsid w:val="001C6B8F"/>
    <w:rsid w:val="001E509D"/>
    <w:rsid w:val="001F3504"/>
    <w:rsid w:val="00205092"/>
    <w:rsid w:val="002357B8"/>
    <w:rsid w:val="0023598C"/>
    <w:rsid w:val="00241704"/>
    <w:rsid w:val="0026592E"/>
    <w:rsid w:val="00273006"/>
    <w:rsid w:val="00274759"/>
    <w:rsid w:val="00283491"/>
    <w:rsid w:val="002834E6"/>
    <w:rsid w:val="00292E00"/>
    <w:rsid w:val="002C5701"/>
    <w:rsid w:val="002F07BB"/>
    <w:rsid w:val="002F588A"/>
    <w:rsid w:val="002F63C0"/>
    <w:rsid w:val="00300092"/>
    <w:rsid w:val="003041C7"/>
    <w:rsid w:val="00310205"/>
    <w:rsid w:val="003127D3"/>
    <w:rsid w:val="00315AF6"/>
    <w:rsid w:val="0032726C"/>
    <w:rsid w:val="00327C38"/>
    <w:rsid w:val="00334A0D"/>
    <w:rsid w:val="00335356"/>
    <w:rsid w:val="00341097"/>
    <w:rsid w:val="00342721"/>
    <w:rsid w:val="00351FE2"/>
    <w:rsid w:val="00355332"/>
    <w:rsid w:val="00357548"/>
    <w:rsid w:val="00364143"/>
    <w:rsid w:val="00367C32"/>
    <w:rsid w:val="0037424B"/>
    <w:rsid w:val="003815D1"/>
    <w:rsid w:val="0038767B"/>
    <w:rsid w:val="00390148"/>
    <w:rsid w:val="00390202"/>
    <w:rsid w:val="00397145"/>
    <w:rsid w:val="003976E3"/>
    <w:rsid w:val="003A0280"/>
    <w:rsid w:val="003A0DBD"/>
    <w:rsid w:val="003A4BAD"/>
    <w:rsid w:val="003A4E7F"/>
    <w:rsid w:val="003B7240"/>
    <w:rsid w:val="003C3E4C"/>
    <w:rsid w:val="003D03AE"/>
    <w:rsid w:val="003D0AC6"/>
    <w:rsid w:val="003D2C74"/>
    <w:rsid w:val="003D544F"/>
    <w:rsid w:val="003E20CA"/>
    <w:rsid w:val="003E2FA0"/>
    <w:rsid w:val="003E7471"/>
    <w:rsid w:val="004168AA"/>
    <w:rsid w:val="0043322C"/>
    <w:rsid w:val="00436988"/>
    <w:rsid w:val="0043721D"/>
    <w:rsid w:val="004378E1"/>
    <w:rsid w:val="004917DA"/>
    <w:rsid w:val="00493D19"/>
    <w:rsid w:val="004977D1"/>
    <w:rsid w:val="004A43FB"/>
    <w:rsid w:val="004B6EC9"/>
    <w:rsid w:val="004C002B"/>
    <w:rsid w:val="004C032A"/>
    <w:rsid w:val="004C1E49"/>
    <w:rsid w:val="004C3DA2"/>
    <w:rsid w:val="004E135A"/>
    <w:rsid w:val="004E5AF8"/>
    <w:rsid w:val="004E7B2B"/>
    <w:rsid w:val="004F4D12"/>
    <w:rsid w:val="0050038A"/>
    <w:rsid w:val="00513106"/>
    <w:rsid w:val="00531716"/>
    <w:rsid w:val="00535EE1"/>
    <w:rsid w:val="005452AB"/>
    <w:rsid w:val="00596627"/>
    <w:rsid w:val="00596784"/>
    <w:rsid w:val="005B32DF"/>
    <w:rsid w:val="005B3928"/>
    <w:rsid w:val="005C55CD"/>
    <w:rsid w:val="005E0EAE"/>
    <w:rsid w:val="005F1903"/>
    <w:rsid w:val="006022A2"/>
    <w:rsid w:val="0060575E"/>
    <w:rsid w:val="00606E79"/>
    <w:rsid w:val="00611C53"/>
    <w:rsid w:val="006154DF"/>
    <w:rsid w:val="00615DE0"/>
    <w:rsid w:val="00616FF3"/>
    <w:rsid w:val="0062438C"/>
    <w:rsid w:val="00632404"/>
    <w:rsid w:val="00664FD9"/>
    <w:rsid w:val="006667D3"/>
    <w:rsid w:val="0067024A"/>
    <w:rsid w:val="0068341A"/>
    <w:rsid w:val="006840C2"/>
    <w:rsid w:val="0068503D"/>
    <w:rsid w:val="006A17B7"/>
    <w:rsid w:val="006A194F"/>
    <w:rsid w:val="006A2B2C"/>
    <w:rsid w:val="006B08C2"/>
    <w:rsid w:val="006B1C0E"/>
    <w:rsid w:val="006E0803"/>
    <w:rsid w:val="006E09B1"/>
    <w:rsid w:val="006E6472"/>
    <w:rsid w:val="006F1618"/>
    <w:rsid w:val="006F2C84"/>
    <w:rsid w:val="0072536C"/>
    <w:rsid w:val="00726AAC"/>
    <w:rsid w:val="0074599B"/>
    <w:rsid w:val="00745A67"/>
    <w:rsid w:val="007461F6"/>
    <w:rsid w:val="0075203F"/>
    <w:rsid w:val="007547B1"/>
    <w:rsid w:val="007740C6"/>
    <w:rsid w:val="00780E82"/>
    <w:rsid w:val="00781492"/>
    <w:rsid w:val="00795364"/>
    <w:rsid w:val="007953D2"/>
    <w:rsid w:val="007A1DD3"/>
    <w:rsid w:val="007A3905"/>
    <w:rsid w:val="007C204C"/>
    <w:rsid w:val="007D29B7"/>
    <w:rsid w:val="007E08E0"/>
    <w:rsid w:val="007F05EF"/>
    <w:rsid w:val="007F529D"/>
    <w:rsid w:val="00803B3F"/>
    <w:rsid w:val="008040E7"/>
    <w:rsid w:val="00821A46"/>
    <w:rsid w:val="00824D46"/>
    <w:rsid w:val="00827D7A"/>
    <w:rsid w:val="0083278F"/>
    <w:rsid w:val="0086323D"/>
    <w:rsid w:val="00871438"/>
    <w:rsid w:val="00875EBA"/>
    <w:rsid w:val="00880371"/>
    <w:rsid w:val="008907F8"/>
    <w:rsid w:val="008A1626"/>
    <w:rsid w:val="008A488B"/>
    <w:rsid w:val="008C25D4"/>
    <w:rsid w:val="008C6BF6"/>
    <w:rsid w:val="008D5B0E"/>
    <w:rsid w:val="008D716B"/>
    <w:rsid w:val="008E394B"/>
    <w:rsid w:val="008E50C1"/>
    <w:rsid w:val="008F27FB"/>
    <w:rsid w:val="008F5B5D"/>
    <w:rsid w:val="008F78D7"/>
    <w:rsid w:val="009068B2"/>
    <w:rsid w:val="00907C22"/>
    <w:rsid w:val="00922D3A"/>
    <w:rsid w:val="00936E1F"/>
    <w:rsid w:val="009541B0"/>
    <w:rsid w:val="00963E61"/>
    <w:rsid w:val="00975509"/>
    <w:rsid w:val="0098487B"/>
    <w:rsid w:val="00991B10"/>
    <w:rsid w:val="009A015F"/>
    <w:rsid w:val="009A0A31"/>
    <w:rsid w:val="009A1392"/>
    <w:rsid w:val="009B006C"/>
    <w:rsid w:val="009E07A1"/>
    <w:rsid w:val="009F459E"/>
    <w:rsid w:val="00A02113"/>
    <w:rsid w:val="00A03E9F"/>
    <w:rsid w:val="00A24018"/>
    <w:rsid w:val="00A375CA"/>
    <w:rsid w:val="00A375ED"/>
    <w:rsid w:val="00A50EFC"/>
    <w:rsid w:val="00A5212C"/>
    <w:rsid w:val="00A57FE3"/>
    <w:rsid w:val="00A65247"/>
    <w:rsid w:val="00A65827"/>
    <w:rsid w:val="00A73181"/>
    <w:rsid w:val="00A73D82"/>
    <w:rsid w:val="00A93824"/>
    <w:rsid w:val="00A96E3D"/>
    <w:rsid w:val="00AA0657"/>
    <w:rsid w:val="00AD5255"/>
    <w:rsid w:val="00AE1A0E"/>
    <w:rsid w:val="00AE4A0E"/>
    <w:rsid w:val="00AF4408"/>
    <w:rsid w:val="00AF4E92"/>
    <w:rsid w:val="00AF78E3"/>
    <w:rsid w:val="00B018CB"/>
    <w:rsid w:val="00B0396E"/>
    <w:rsid w:val="00B30C04"/>
    <w:rsid w:val="00B40950"/>
    <w:rsid w:val="00B56D4C"/>
    <w:rsid w:val="00B62651"/>
    <w:rsid w:val="00B820C9"/>
    <w:rsid w:val="00B86036"/>
    <w:rsid w:val="00B94A4A"/>
    <w:rsid w:val="00BB066D"/>
    <w:rsid w:val="00BB1DAF"/>
    <w:rsid w:val="00BB2858"/>
    <w:rsid w:val="00BC0123"/>
    <w:rsid w:val="00BD3ED5"/>
    <w:rsid w:val="00BD3FC4"/>
    <w:rsid w:val="00BD5C12"/>
    <w:rsid w:val="00BD7931"/>
    <w:rsid w:val="00BE12D4"/>
    <w:rsid w:val="00BF1A2D"/>
    <w:rsid w:val="00BF6290"/>
    <w:rsid w:val="00C00188"/>
    <w:rsid w:val="00C00F48"/>
    <w:rsid w:val="00C01497"/>
    <w:rsid w:val="00C04033"/>
    <w:rsid w:val="00C0742B"/>
    <w:rsid w:val="00C16946"/>
    <w:rsid w:val="00C22508"/>
    <w:rsid w:val="00C24824"/>
    <w:rsid w:val="00C30C10"/>
    <w:rsid w:val="00C412D4"/>
    <w:rsid w:val="00C53DEC"/>
    <w:rsid w:val="00C5444F"/>
    <w:rsid w:val="00C70229"/>
    <w:rsid w:val="00C8686B"/>
    <w:rsid w:val="00C95EBF"/>
    <w:rsid w:val="00CA6AB2"/>
    <w:rsid w:val="00CC423F"/>
    <w:rsid w:val="00CD17E5"/>
    <w:rsid w:val="00CE71A1"/>
    <w:rsid w:val="00D05C4D"/>
    <w:rsid w:val="00D114BC"/>
    <w:rsid w:val="00D20E24"/>
    <w:rsid w:val="00D23086"/>
    <w:rsid w:val="00D31C49"/>
    <w:rsid w:val="00D31ED9"/>
    <w:rsid w:val="00D36606"/>
    <w:rsid w:val="00D37C97"/>
    <w:rsid w:val="00D41A2E"/>
    <w:rsid w:val="00D45A1F"/>
    <w:rsid w:val="00D50A32"/>
    <w:rsid w:val="00D573D6"/>
    <w:rsid w:val="00D57FFB"/>
    <w:rsid w:val="00D7034C"/>
    <w:rsid w:val="00D71B8C"/>
    <w:rsid w:val="00D738A2"/>
    <w:rsid w:val="00D800E8"/>
    <w:rsid w:val="00D8285D"/>
    <w:rsid w:val="00D848DE"/>
    <w:rsid w:val="00DA7649"/>
    <w:rsid w:val="00DC2F2A"/>
    <w:rsid w:val="00DC7BE3"/>
    <w:rsid w:val="00DD0EA9"/>
    <w:rsid w:val="00DD3914"/>
    <w:rsid w:val="00DE2564"/>
    <w:rsid w:val="00DF2419"/>
    <w:rsid w:val="00E02369"/>
    <w:rsid w:val="00E14413"/>
    <w:rsid w:val="00E44E36"/>
    <w:rsid w:val="00E57D94"/>
    <w:rsid w:val="00E62D06"/>
    <w:rsid w:val="00E64B49"/>
    <w:rsid w:val="00E84311"/>
    <w:rsid w:val="00E93D42"/>
    <w:rsid w:val="00EA4E63"/>
    <w:rsid w:val="00EB086F"/>
    <w:rsid w:val="00EB4203"/>
    <w:rsid w:val="00EB4206"/>
    <w:rsid w:val="00ED5C2F"/>
    <w:rsid w:val="00F20327"/>
    <w:rsid w:val="00F207E9"/>
    <w:rsid w:val="00F45753"/>
    <w:rsid w:val="00F50321"/>
    <w:rsid w:val="00F5578B"/>
    <w:rsid w:val="00F66484"/>
    <w:rsid w:val="00F92AE3"/>
    <w:rsid w:val="00F95FC9"/>
    <w:rsid w:val="00FA0ECA"/>
    <w:rsid w:val="00FB66ED"/>
    <w:rsid w:val="00FB6735"/>
    <w:rsid w:val="00FC016F"/>
    <w:rsid w:val="00FC0365"/>
    <w:rsid w:val="00FE1C73"/>
    <w:rsid w:val="00FE7A5E"/>
    <w:rsid w:val="00FF2BE9"/>
    <w:rsid w:val="00FF3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7C6E6-FD36-49AC-A080-007E73FC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GB"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E82"/>
  </w:style>
  <w:style w:type="paragraph" w:styleId="Heading1">
    <w:name w:val="heading 1"/>
    <w:basedOn w:val="Normal"/>
    <w:next w:val="Normal"/>
    <w:link w:val="Heading1Char"/>
    <w:uiPriority w:val="99"/>
    <w:qFormat/>
    <w:rsid w:val="007F05EF"/>
    <w:pPr>
      <w:keepNext/>
      <w:keepLines/>
      <w:numPr>
        <w:numId w:val="5"/>
      </w:numPr>
      <w:spacing w:before="480" w:after="0"/>
      <w:outlineLvl w:val="0"/>
    </w:pPr>
    <w:rPr>
      <w:rFonts w:eastAsiaTheme="majorEastAsia" w:cstheme="majorBidi"/>
      <w:b/>
      <w:bCs/>
      <w:caps/>
      <w:color w:val="365F91" w:themeColor="accent1" w:themeShade="BF"/>
      <w:sz w:val="24"/>
      <w:szCs w:val="28"/>
      <w:u w:val="single"/>
    </w:rPr>
  </w:style>
  <w:style w:type="paragraph" w:styleId="Heading2">
    <w:name w:val="heading 2"/>
    <w:basedOn w:val="Normal"/>
    <w:next w:val="Normal"/>
    <w:link w:val="Heading2Char"/>
    <w:uiPriority w:val="9"/>
    <w:unhideWhenUsed/>
    <w:qFormat/>
    <w:rsid w:val="00D114BC"/>
    <w:pPr>
      <w:keepNext/>
      <w:keepLines/>
      <w:numPr>
        <w:numId w:val="6"/>
      </w:numPr>
      <w:spacing w:before="200" w:after="0"/>
      <w:outlineLvl w:val="1"/>
    </w:pPr>
    <w:rPr>
      <w:rFonts w:eastAsiaTheme="majorEastAsia" w:cstheme="majorBidi"/>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05EF"/>
    <w:rPr>
      <w:rFonts w:eastAsiaTheme="majorEastAsia" w:cstheme="majorBidi"/>
      <w:b/>
      <w:bCs/>
      <w:caps/>
      <w:color w:val="365F91" w:themeColor="accent1" w:themeShade="BF"/>
      <w:sz w:val="24"/>
      <w:szCs w:val="28"/>
      <w:u w:val="single"/>
    </w:rPr>
  </w:style>
  <w:style w:type="character" w:customStyle="1" w:styleId="Heading2Char">
    <w:name w:val="Heading 2 Char"/>
    <w:basedOn w:val="DefaultParagraphFont"/>
    <w:link w:val="Heading2"/>
    <w:uiPriority w:val="9"/>
    <w:rsid w:val="00D114BC"/>
    <w:rPr>
      <w:rFonts w:eastAsiaTheme="majorEastAsia" w:cstheme="majorBidi"/>
      <w:bCs/>
      <w:color w:val="4F81BD" w:themeColor="accent1"/>
      <w:sz w:val="22"/>
      <w:szCs w:val="26"/>
    </w:rPr>
  </w:style>
  <w:style w:type="paragraph" w:styleId="NormalWeb">
    <w:name w:val="Normal (Web)"/>
    <w:basedOn w:val="Normal"/>
    <w:uiPriority w:val="99"/>
    <w:unhideWhenUsed/>
    <w:rsid w:val="00F5578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s-imnspan">
    <w:name w:val="ms-imnspan"/>
    <w:basedOn w:val="DefaultParagraphFont"/>
    <w:rsid w:val="00F5578B"/>
  </w:style>
  <w:style w:type="character" w:customStyle="1" w:styleId="ms-nowrap">
    <w:name w:val="ms-nowrap"/>
    <w:basedOn w:val="DefaultParagraphFont"/>
    <w:rsid w:val="00F5578B"/>
  </w:style>
  <w:style w:type="paragraph" w:styleId="BalloonText">
    <w:name w:val="Balloon Text"/>
    <w:basedOn w:val="Normal"/>
    <w:link w:val="BalloonTextChar"/>
    <w:uiPriority w:val="99"/>
    <w:semiHidden/>
    <w:unhideWhenUsed/>
    <w:rsid w:val="00F557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78B"/>
    <w:rPr>
      <w:rFonts w:ascii="Tahoma" w:hAnsi="Tahoma" w:cs="Tahoma"/>
      <w:sz w:val="16"/>
      <w:szCs w:val="16"/>
    </w:rPr>
  </w:style>
  <w:style w:type="paragraph" w:styleId="Header">
    <w:name w:val="header"/>
    <w:basedOn w:val="Normal"/>
    <w:link w:val="HeaderChar"/>
    <w:uiPriority w:val="99"/>
    <w:semiHidden/>
    <w:unhideWhenUsed/>
    <w:rsid w:val="00F5578B"/>
    <w:pPr>
      <w:tabs>
        <w:tab w:val="center" w:pos="4513"/>
        <w:tab w:val="right" w:pos="9026"/>
      </w:tabs>
      <w:spacing w:after="0"/>
    </w:pPr>
  </w:style>
  <w:style w:type="character" w:customStyle="1" w:styleId="HeaderChar">
    <w:name w:val="Header Char"/>
    <w:basedOn w:val="DefaultParagraphFont"/>
    <w:link w:val="Header"/>
    <w:uiPriority w:val="99"/>
    <w:semiHidden/>
    <w:rsid w:val="00F5578B"/>
  </w:style>
  <w:style w:type="paragraph" w:styleId="Footer">
    <w:name w:val="footer"/>
    <w:basedOn w:val="Normal"/>
    <w:link w:val="FooterChar"/>
    <w:uiPriority w:val="99"/>
    <w:semiHidden/>
    <w:unhideWhenUsed/>
    <w:rsid w:val="00F5578B"/>
    <w:pPr>
      <w:tabs>
        <w:tab w:val="center" w:pos="4513"/>
        <w:tab w:val="right" w:pos="9026"/>
      </w:tabs>
      <w:spacing w:after="0"/>
    </w:pPr>
  </w:style>
  <w:style w:type="character" w:customStyle="1" w:styleId="FooterChar">
    <w:name w:val="Footer Char"/>
    <w:basedOn w:val="DefaultParagraphFont"/>
    <w:link w:val="Footer"/>
    <w:uiPriority w:val="99"/>
    <w:semiHidden/>
    <w:rsid w:val="00F5578B"/>
  </w:style>
  <w:style w:type="paragraph" w:styleId="ListParagraph">
    <w:name w:val="List Paragraph"/>
    <w:aliases w:val="Second Level"/>
    <w:basedOn w:val="Normal"/>
    <w:uiPriority w:val="34"/>
    <w:qFormat/>
    <w:rsid w:val="00E93D42"/>
    <w:pPr>
      <w:ind w:left="720"/>
      <w:contextualSpacing/>
    </w:pPr>
  </w:style>
  <w:style w:type="character" w:styleId="CommentReference">
    <w:name w:val="annotation reference"/>
    <w:basedOn w:val="DefaultParagraphFont"/>
    <w:uiPriority w:val="99"/>
    <w:semiHidden/>
    <w:unhideWhenUsed/>
    <w:rsid w:val="005B32DF"/>
    <w:rPr>
      <w:sz w:val="16"/>
      <w:szCs w:val="16"/>
    </w:rPr>
  </w:style>
  <w:style w:type="paragraph" w:styleId="CommentText">
    <w:name w:val="annotation text"/>
    <w:basedOn w:val="Normal"/>
    <w:link w:val="CommentTextChar"/>
    <w:uiPriority w:val="99"/>
    <w:semiHidden/>
    <w:unhideWhenUsed/>
    <w:rsid w:val="005B32DF"/>
    <w:rPr>
      <w:szCs w:val="20"/>
    </w:rPr>
  </w:style>
  <w:style w:type="character" w:customStyle="1" w:styleId="CommentTextChar">
    <w:name w:val="Comment Text Char"/>
    <w:basedOn w:val="DefaultParagraphFont"/>
    <w:link w:val="CommentText"/>
    <w:uiPriority w:val="99"/>
    <w:semiHidden/>
    <w:rsid w:val="005B32DF"/>
    <w:rPr>
      <w:szCs w:val="20"/>
    </w:rPr>
  </w:style>
  <w:style w:type="paragraph" w:styleId="CommentSubject">
    <w:name w:val="annotation subject"/>
    <w:basedOn w:val="CommentText"/>
    <w:next w:val="CommentText"/>
    <w:link w:val="CommentSubjectChar"/>
    <w:uiPriority w:val="99"/>
    <w:semiHidden/>
    <w:unhideWhenUsed/>
    <w:rsid w:val="005B32DF"/>
    <w:rPr>
      <w:b/>
      <w:bCs/>
    </w:rPr>
  </w:style>
  <w:style w:type="character" w:customStyle="1" w:styleId="CommentSubjectChar">
    <w:name w:val="Comment Subject Char"/>
    <w:basedOn w:val="CommentTextChar"/>
    <w:link w:val="CommentSubject"/>
    <w:uiPriority w:val="99"/>
    <w:semiHidden/>
    <w:rsid w:val="005B32DF"/>
    <w:rPr>
      <w:b/>
      <w:bCs/>
      <w:szCs w:val="20"/>
    </w:rPr>
  </w:style>
  <w:style w:type="paragraph" w:styleId="BodyText">
    <w:name w:val="Body Text"/>
    <w:basedOn w:val="Normal"/>
    <w:link w:val="BodyTextChar"/>
    <w:uiPriority w:val="99"/>
    <w:rsid w:val="00B40950"/>
    <w:pPr>
      <w:spacing w:after="0"/>
      <w:jc w:val="both"/>
    </w:pPr>
    <w:rPr>
      <w:rFonts w:eastAsia="Times New Roman" w:cs="Arial"/>
      <w:sz w:val="24"/>
      <w:szCs w:val="24"/>
    </w:rPr>
  </w:style>
  <w:style w:type="character" w:customStyle="1" w:styleId="BodyTextChar">
    <w:name w:val="Body Text Char"/>
    <w:basedOn w:val="DefaultParagraphFont"/>
    <w:link w:val="BodyText"/>
    <w:uiPriority w:val="99"/>
    <w:rsid w:val="00B40950"/>
    <w:rPr>
      <w:rFonts w:eastAsia="Times New Roman" w:cs="Arial"/>
      <w:sz w:val="24"/>
      <w:szCs w:val="24"/>
    </w:rPr>
  </w:style>
  <w:style w:type="paragraph" w:styleId="Title">
    <w:name w:val="Title"/>
    <w:basedOn w:val="Normal"/>
    <w:link w:val="TitleChar"/>
    <w:uiPriority w:val="99"/>
    <w:qFormat/>
    <w:rsid w:val="00B40950"/>
    <w:pPr>
      <w:tabs>
        <w:tab w:val="left" w:pos="2991"/>
      </w:tabs>
      <w:spacing w:after="0"/>
      <w:jc w:val="center"/>
    </w:pPr>
    <w:rPr>
      <w:rFonts w:ascii="Helvetica" w:eastAsia="Times New Roman" w:hAnsi="Helvetica" w:cs="Times New Roman"/>
      <w:b/>
      <w:szCs w:val="20"/>
    </w:rPr>
  </w:style>
  <w:style w:type="character" w:customStyle="1" w:styleId="TitleChar">
    <w:name w:val="Title Char"/>
    <w:basedOn w:val="DefaultParagraphFont"/>
    <w:link w:val="Title"/>
    <w:uiPriority w:val="99"/>
    <w:rsid w:val="00B40950"/>
    <w:rPr>
      <w:rFonts w:ascii="Helvetica" w:eastAsia="Times New Roman" w:hAnsi="Helvetica" w:cs="Times New Roman"/>
      <w:b/>
      <w:szCs w:val="20"/>
    </w:rPr>
  </w:style>
  <w:style w:type="paragraph" w:customStyle="1" w:styleId="Default">
    <w:name w:val="Default"/>
    <w:rsid w:val="00B40950"/>
    <w:pPr>
      <w:autoSpaceDE w:val="0"/>
      <w:autoSpaceDN w:val="0"/>
      <w:adjustRightInd w:val="0"/>
      <w:spacing w:after="0"/>
    </w:pPr>
    <w:rPr>
      <w:rFonts w:eastAsia="Calibri" w:cs="Arial"/>
      <w:color w:val="000000"/>
      <w:sz w:val="24"/>
      <w:szCs w:val="24"/>
    </w:rPr>
  </w:style>
  <w:style w:type="table" w:styleId="TableGrid">
    <w:name w:val="Table Grid"/>
    <w:basedOn w:val="TableNormal"/>
    <w:uiPriority w:val="59"/>
    <w:rsid w:val="005B39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810639">
      <w:bodyDiv w:val="1"/>
      <w:marLeft w:val="0"/>
      <w:marRight w:val="0"/>
      <w:marTop w:val="0"/>
      <w:marBottom w:val="0"/>
      <w:divBdr>
        <w:top w:val="none" w:sz="0" w:space="0" w:color="auto"/>
        <w:left w:val="none" w:sz="0" w:space="0" w:color="auto"/>
        <w:bottom w:val="none" w:sz="0" w:space="0" w:color="auto"/>
        <w:right w:val="none" w:sz="0" w:space="0" w:color="auto"/>
      </w:divBdr>
    </w:div>
    <w:div w:id="1609696594">
      <w:bodyDiv w:val="1"/>
      <w:marLeft w:val="0"/>
      <w:marRight w:val="0"/>
      <w:marTop w:val="0"/>
      <w:marBottom w:val="0"/>
      <w:divBdr>
        <w:top w:val="none" w:sz="0" w:space="0" w:color="auto"/>
        <w:left w:val="none" w:sz="0" w:space="0" w:color="auto"/>
        <w:bottom w:val="none" w:sz="0" w:space="0" w:color="auto"/>
        <w:right w:val="none" w:sz="0" w:space="0" w:color="auto"/>
      </w:divBdr>
      <w:divsChild>
        <w:div w:id="1213881183">
          <w:marLeft w:val="0"/>
          <w:marRight w:val="0"/>
          <w:marTop w:val="0"/>
          <w:marBottom w:val="0"/>
          <w:divBdr>
            <w:top w:val="none" w:sz="0" w:space="0" w:color="auto"/>
            <w:left w:val="none" w:sz="0" w:space="0" w:color="auto"/>
            <w:bottom w:val="none" w:sz="0" w:space="0" w:color="auto"/>
            <w:right w:val="none" w:sz="0" w:space="0" w:color="auto"/>
          </w:divBdr>
          <w:divsChild>
            <w:div w:id="262038367">
              <w:marLeft w:val="0"/>
              <w:marRight w:val="0"/>
              <w:marTop w:val="0"/>
              <w:marBottom w:val="0"/>
              <w:divBdr>
                <w:top w:val="none" w:sz="0" w:space="0" w:color="auto"/>
                <w:left w:val="none" w:sz="0" w:space="0" w:color="auto"/>
                <w:bottom w:val="none" w:sz="0" w:space="0" w:color="auto"/>
                <w:right w:val="none" w:sz="0" w:space="0" w:color="auto"/>
              </w:divBdr>
              <w:divsChild>
                <w:div w:id="638923273">
                  <w:marLeft w:val="0"/>
                  <w:marRight w:val="0"/>
                  <w:marTop w:val="0"/>
                  <w:marBottom w:val="0"/>
                  <w:divBdr>
                    <w:top w:val="none" w:sz="0" w:space="0" w:color="auto"/>
                    <w:left w:val="none" w:sz="0" w:space="0" w:color="auto"/>
                    <w:bottom w:val="none" w:sz="0" w:space="0" w:color="auto"/>
                    <w:right w:val="none" w:sz="0" w:space="0" w:color="auto"/>
                  </w:divBdr>
                  <w:divsChild>
                    <w:div w:id="915015338">
                      <w:marLeft w:val="0"/>
                      <w:marRight w:val="0"/>
                      <w:marTop w:val="0"/>
                      <w:marBottom w:val="0"/>
                      <w:divBdr>
                        <w:top w:val="none" w:sz="0" w:space="0" w:color="auto"/>
                        <w:left w:val="none" w:sz="0" w:space="0" w:color="auto"/>
                        <w:bottom w:val="none" w:sz="0" w:space="0" w:color="auto"/>
                        <w:right w:val="none" w:sz="0" w:space="0" w:color="auto"/>
                      </w:divBdr>
                      <w:divsChild>
                        <w:div w:id="14692183">
                          <w:marLeft w:val="0"/>
                          <w:marRight w:val="0"/>
                          <w:marTop w:val="0"/>
                          <w:marBottom w:val="0"/>
                          <w:divBdr>
                            <w:top w:val="none" w:sz="0" w:space="0" w:color="auto"/>
                            <w:left w:val="none" w:sz="0" w:space="0" w:color="auto"/>
                            <w:bottom w:val="none" w:sz="0" w:space="0" w:color="auto"/>
                            <w:right w:val="none" w:sz="0" w:space="0" w:color="auto"/>
                          </w:divBdr>
                          <w:divsChild>
                            <w:div w:id="129372161">
                              <w:marLeft w:val="0"/>
                              <w:marRight w:val="0"/>
                              <w:marTop w:val="0"/>
                              <w:marBottom w:val="0"/>
                              <w:divBdr>
                                <w:top w:val="none" w:sz="0" w:space="0" w:color="auto"/>
                                <w:left w:val="none" w:sz="0" w:space="0" w:color="auto"/>
                                <w:bottom w:val="none" w:sz="0" w:space="0" w:color="auto"/>
                                <w:right w:val="none" w:sz="0" w:space="0" w:color="auto"/>
                              </w:divBdr>
                              <w:divsChild>
                                <w:div w:id="1208177463">
                                  <w:marLeft w:val="0"/>
                                  <w:marRight w:val="0"/>
                                  <w:marTop w:val="0"/>
                                  <w:marBottom w:val="0"/>
                                  <w:divBdr>
                                    <w:top w:val="none" w:sz="0" w:space="0" w:color="auto"/>
                                    <w:left w:val="none" w:sz="0" w:space="0" w:color="auto"/>
                                    <w:bottom w:val="none" w:sz="0" w:space="0" w:color="auto"/>
                                    <w:right w:val="none" w:sz="0" w:space="0" w:color="auto"/>
                                  </w:divBdr>
                                  <w:divsChild>
                                    <w:div w:id="101611006">
                                      <w:marLeft w:val="0"/>
                                      <w:marRight w:val="0"/>
                                      <w:marTop w:val="0"/>
                                      <w:marBottom w:val="0"/>
                                      <w:divBdr>
                                        <w:top w:val="none" w:sz="0" w:space="0" w:color="auto"/>
                                        <w:left w:val="none" w:sz="0" w:space="0" w:color="auto"/>
                                        <w:bottom w:val="none" w:sz="0" w:space="0" w:color="auto"/>
                                        <w:right w:val="none" w:sz="0" w:space="0" w:color="auto"/>
                                      </w:divBdr>
                                      <w:divsChild>
                                        <w:div w:id="540676187">
                                          <w:marLeft w:val="0"/>
                                          <w:marRight w:val="0"/>
                                          <w:marTop w:val="0"/>
                                          <w:marBottom w:val="0"/>
                                          <w:divBdr>
                                            <w:top w:val="none" w:sz="0" w:space="0" w:color="auto"/>
                                            <w:left w:val="none" w:sz="0" w:space="0" w:color="auto"/>
                                            <w:bottom w:val="none" w:sz="0" w:space="0" w:color="auto"/>
                                            <w:right w:val="none" w:sz="0" w:space="0" w:color="auto"/>
                                          </w:divBdr>
                                          <w:divsChild>
                                            <w:div w:id="761799403">
                                              <w:marLeft w:val="0"/>
                                              <w:marRight w:val="0"/>
                                              <w:marTop w:val="0"/>
                                              <w:marBottom w:val="0"/>
                                              <w:divBdr>
                                                <w:top w:val="none" w:sz="0" w:space="0" w:color="auto"/>
                                                <w:left w:val="none" w:sz="0" w:space="0" w:color="auto"/>
                                                <w:bottom w:val="none" w:sz="0" w:space="0" w:color="auto"/>
                                                <w:right w:val="none" w:sz="0" w:space="0" w:color="auto"/>
                                              </w:divBdr>
                                              <w:divsChild>
                                                <w:div w:id="288510373">
                                                  <w:marLeft w:val="0"/>
                                                  <w:marRight w:val="0"/>
                                                  <w:marTop w:val="0"/>
                                                  <w:marBottom w:val="0"/>
                                                  <w:divBdr>
                                                    <w:top w:val="none" w:sz="0" w:space="0" w:color="auto"/>
                                                    <w:left w:val="none" w:sz="0" w:space="0" w:color="auto"/>
                                                    <w:bottom w:val="none" w:sz="0" w:space="0" w:color="auto"/>
                                                    <w:right w:val="none" w:sz="0" w:space="0" w:color="auto"/>
                                                  </w:divBdr>
                                                  <w:divsChild>
                                                    <w:div w:id="1260068526">
                                                      <w:marLeft w:val="0"/>
                                                      <w:marRight w:val="0"/>
                                                      <w:marTop w:val="0"/>
                                                      <w:marBottom w:val="0"/>
                                                      <w:divBdr>
                                                        <w:top w:val="none" w:sz="0" w:space="0" w:color="auto"/>
                                                        <w:left w:val="none" w:sz="0" w:space="0" w:color="auto"/>
                                                        <w:bottom w:val="none" w:sz="0" w:space="0" w:color="auto"/>
                                                        <w:right w:val="none" w:sz="0" w:space="0" w:color="auto"/>
                                                      </w:divBdr>
                                                      <w:divsChild>
                                                        <w:div w:id="1795368784">
                                                          <w:marLeft w:val="0"/>
                                                          <w:marRight w:val="0"/>
                                                          <w:marTop w:val="0"/>
                                                          <w:marBottom w:val="0"/>
                                                          <w:divBdr>
                                                            <w:top w:val="none" w:sz="0" w:space="0" w:color="auto"/>
                                                            <w:left w:val="none" w:sz="0" w:space="0" w:color="auto"/>
                                                            <w:bottom w:val="none" w:sz="0" w:space="0" w:color="auto"/>
                                                            <w:right w:val="none" w:sz="0" w:space="0" w:color="auto"/>
                                                          </w:divBdr>
                                                          <w:divsChild>
                                                            <w:div w:id="1291017828">
                                                              <w:marLeft w:val="0"/>
                                                              <w:marRight w:val="0"/>
                                                              <w:marTop w:val="0"/>
                                                              <w:marBottom w:val="0"/>
                                                              <w:divBdr>
                                                                <w:top w:val="none" w:sz="0" w:space="0" w:color="auto"/>
                                                                <w:left w:val="none" w:sz="0" w:space="0" w:color="auto"/>
                                                                <w:bottom w:val="none" w:sz="0" w:space="0" w:color="auto"/>
                                                                <w:right w:val="none" w:sz="0" w:space="0" w:color="auto"/>
                                                              </w:divBdr>
                                                            </w:div>
                                                            <w:div w:id="892614923">
                                                              <w:marLeft w:val="0"/>
                                                              <w:marRight w:val="0"/>
                                                              <w:marTop w:val="0"/>
                                                              <w:marBottom w:val="0"/>
                                                              <w:divBdr>
                                                                <w:top w:val="none" w:sz="0" w:space="0" w:color="auto"/>
                                                                <w:left w:val="none" w:sz="0" w:space="0" w:color="auto"/>
                                                                <w:bottom w:val="none" w:sz="0" w:space="0" w:color="auto"/>
                                                                <w:right w:val="none" w:sz="0" w:space="0" w:color="auto"/>
                                                              </w:divBdr>
                                                            </w:div>
                                                            <w:div w:id="2097356525">
                                                              <w:marLeft w:val="0"/>
                                                              <w:marRight w:val="0"/>
                                                              <w:marTop w:val="0"/>
                                                              <w:marBottom w:val="0"/>
                                                              <w:divBdr>
                                                                <w:top w:val="none" w:sz="0" w:space="0" w:color="auto"/>
                                                                <w:left w:val="none" w:sz="0" w:space="0" w:color="auto"/>
                                                                <w:bottom w:val="none" w:sz="0" w:space="0" w:color="auto"/>
                                                                <w:right w:val="none" w:sz="0" w:space="0" w:color="auto"/>
                                                              </w:divBdr>
                                                            </w:div>
                                                            <w:div w:id="85267882">
                                                              <w:marLeft w:val="0"/>
                                                              <w:marRight w:val="0"/>
                                                              <w:marTop w:val="0"/>
                                                              <w:marBottom w:val="0"/>
                                                              <w:divBdr>
                                                                <w:top w:val="none" w:sz="0" w:space="0" w:color="auto"/>
                                                                <w:left w:val="none" w:sz="0" w:space="0" w:color="auto"/>
                                                                <w:bottom w:val="none" w:sz="0" w:space="0" w:color="auto"/>
                                                                <w:right w:val="none" w:sz="0" w:space="0" w:color="auto"/>
                                                              </w:divBdr>
                                                            </w:div>
                                                            <w:div w:id="919174065">
                                                              <w:marLeft w:val="0"/>
                                                              <w:marRight w:val="0"/>
                                                              <w:marTop w:val="0"/>
                                                              <w:marBottom w:val="0"/>
                                                              <w:divBdr>
                                                                <w:top w:val="none" w:sz="0" w:space="0" w:color="auto"/>
                                                                <w:left w:val="none" w:sz="0" w:space="0" w:color="auto"/>
                                                                <w:bottom w:val="none" w:sz="0" w:space="0" w:color="auto"/>
                                                                <w:right w:val="none" w:sz="0" w:space="0" w:color="auto"/>
                                                              </w:divBdr>
                                                            </w:div>
                                                            <w:div w:id="1677147212">
                                                              <w:marLeft w:val="0"/>
                                                              <w:marRight w:val="0"/>
                                                              <w:marTop w:val="0"/>
                                                              <w:marBottom w:val="0"/>
                                                              <w:divBdr>
                                                                <w:top w:val="none" w:sz="0" w:space="0" w:color="auto"/>
                                                                <w:left w:val="none" w:sz="0" w:space="0" w:color="auto"/>
                                                                <w:bottom w:val="none" w:sz="0" w:space="0" w:color="auto"/>
                                                                <w:right w:val="none" w:sz="0" w:space="0" w:color="auto"/>
                                                              </w:divBdr>
                                                            </w:div>
                                                            <w:div w:id="1515026291">
                                                              <w:marLeft w:val="0"/>
                                                              <w:marRight w:val="0"/>
                                                              <w:marTop w:val="0"/>
                                                              <w:marBottom w:val="0"/>
                                                              <w:divBdr>
                                                                <w:top w:val="none" w:sz="0" w:space="0" w:color="auto"/>
                                                                <w:left w:val="none" w:sz="0" w:space="0" w:color="auto"/>
                                                                <w:bottom w:val="none" w:sz="0" w:space="0" w:color="auto"/>
                                                                <w:right w:val="none" w:sz="0" w:space="0" w:color="auto"/>
                                                              </w:divBdr>
                                                            </w:div>
                                                            <w:div w:id="3915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9843">
                                                  <w:marLeft w:val="0"/>
                                                  <w:marRight w:val="0"/>
                                                  <w:marTop w:val="0"/>
                                                  <w:marBottom w:val="0"/>
                                                  <w:divBdr>
                                                    <w:top w:val="none" w:sz="0" w:space="0" w:color="auto"/>
                                                    <w:left w:val="none" w:sz="0" w:space="0" w:color="auto"/>
                                                    <w:bottom w:val="none" w:sz="0" w:space="0" w:color="auto"/>
                                                    <w:right w:val="none" w:sz="0" w:space="0" w:color="auto"/>
                                                  </w:divBdr>
                                                  <w:divsChild>
                                                    <w:div w:id="1448112542">
                                                      <w:marLeft w:val="0"/>
                                                      <w:marRight w:val="0"/>
                                                      <w:marTop w:val="0"/>
                                                      <w:marBottom w:val="0"/>
                                                      <w:divBdr>
                                                        <w:top w:val="none" w:sz="0" w:space="0" w:color="auto"/>
                                                        <w:left w:val="none" w:sz="0" w:space="0" w:color="auto"/>
                                                        <w:bottom w:val="none" w:sz="0" w:space="0" w:color="auto"/>
                                                        <w:right w:val="none" w:sz="0" w:space="0" w:color="auto"/>
                                                      </w:divBdr>
                                                      <w:divsChild>
                                                        <w:div w:id="1930428541">
                                                          <w:marLeft w:val="0"/>
                                                          <w:marRight w:val="0"/>
                                                          <w:marTop w:val="0"/>
                                                          <w:marBottom w:val="0"/>
                                                          <w:divBdr>
                                                            <w:top w:val="none" w:sz="0" w:space="0" w:color="auto"/>
                                                            <w:left w:val="none" w:sz="0" w:space="0" w:color="auto"/>
                                                            <w:bottom w:val="none" w:sz="0" w:space="0" w:color="auto"/>
                                                            <w:right w:val="none" w:sz="0" w:space="0" w:color="auto"/>
                                                          </w:divBdr>
                                                          <w:divsChild>
                                                            <w:div w:id="11103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9020">
                                                  <w:marLeft w:val="0"/>
                                                  <w:marRight w:val="0"/>
                                                  <w:marTop w:val="0"/>
                                                  <w:marBottom w:val="0"/>
                                                  <w:divBdr>
                                                    <w:top w:val="none" w:sz="0" w:space="0" w:color="auto"/>
                                                    <w:left w:val="none" w:sz="0" w:space="0" w:color="auto"/>
                                                    <w:bottom w:val="none" w:sz="0" w:space="0" w:color="auto"/>
                                                    <w:right w:val="none" w:sz="0" w:space="0" w:color="auto"/>
                                                  </w:divBdr>
                                                  <w:divsChild>
                                                    <w:div w:id="1333072156">
                                                      <w:marLeft w:val="0"/>
                                                      <w:marRight w:val="0"/>
                                                      <w:marTop w:val="0"/>
                                                      <w:marBottom w:val="0"/>
                                                      <w:divBdr>
                                                        <w:top w:val="none" w:sz="0" w:space="0" w:color="auto"/>
                                                        <w:left w:val="none" w:sz="0" w:space="0" w:color="auto"/>
                                                        <w:bottom w:val="none" w:sz="0" w:space="0" w:color="auto"/>
                                                        <w:right w:val="none" w:sz="0" w:space="0" w:color="auto"/>
                                                      </w:divBdr>
                                                      <w:divsChild>
                                                        <w:div w:id="191496998">
                                                          <w:marLeft w:val="0"/>
                                                          <w:marRight w:val="0"/>
                                                          <w:marTop w:val="0"/>
                                                          <w:marBottom w:val="0"/>
                                                          <w:divBdr>
                                                            <w:top w:val="none" w:sz="0" w:space="0" w:color="auto"/>
                                                            <w:left w:val="none" w:sz="0" w:space="0" w:color="auto"/>
                                                            <w:bottom w:val="none" w:sz="0" w:space="0" w:color="auto"/>
                                                            <w:right w:val="none" w:sz="0" w:space="0" w:color="auto"/>
                                                          </w:divBdr>
                                                          <w:divsChild>
                                                            <w:div w:id="1740322981">
                                                              <w:marLeft w:val="0"/>
                                                              <w:marRight w:val="0"/>
                                                              <w:marTop w:val="0"/>
                                                              <w:marBottom w:val="0"/>
                                                              <w:divBdr>
                                                                <w:top w:val="none" w:sz="0" w:space="0" w:color="auto"/>
                                                                <w:left w:val="none" w:sz="0" w:space="0" w:color="auto"/>
                                                                <w:bottom w:val="none" w:sz="0" w:space="0" w:color="auto"/>
                                                                <w:right w:val="none" w:sz="0" w:space="0" w:color="auto"/>
                                                              </w:divBdr>
                                                            </w:div>
                                                            <w:div w:id="6690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81366">
                                                  <w:marLeft w:val="0"/>
                                                  <w:marRight w:val="0"/>
                                                  <w:marTop w:val="0"/>
                                                  <w:marBottom w:val="0"/>
                                                  <w:divBdr>
                                                    <w:top w:val="none" w:sz="0" w:space="0" w:color="auto"/>
                                                    <w:left w:val="none" w:sz="0" w:space="0" w:color="auto"/>
                                                    <w:bottom w:val="none" w:sz="0" w:space="0" w:color="auto"/>
                                                    <w:right w:val="none" w:sz="0" w:space="0" w:color="auto"/>
                                                  </w:divBdr>
                                                  <w:divsChild>
                                                    <w:div w:id="768546383">
                                                      <w:marLeft w:val="0"/>
                                                      <w:marRight w:val="0"/>
                                                      <w:marTop w:val="0"/>
                                                      <w:marBottom w:val="0"/>
                                                      <w:divBdr>
                                                        <w:top w:val="none" w:sz="0" w:space="0" w:color="auto"/>
                                                        <w:left w:val="none" w:sz="0" w:space="0" w:color="auto"/>
                                                        <w:bottom w:val="none" w:sz="0" w:space="0" w:color="auto"/>
                                                        <w:right w:val="none" w:sz="0" w:space="0" w:color="auto"/>
                                                      </w:divBdr>
                                                      <w:divsChild>
                                                        <w:div w:id="495612573">
                                                          <w:marLeft w:val="0"/>
                                                          <w:marRight w:val="0"/>
                                                          <w:marTop w:val="0"/>
                                                          <w:marBottom w:val="0"/>
                                                          <w:divBdr>
                                                            <w:top w:val="none" w:sz="0" w:space="0" w:color="auto"/>
                                                            <w:left w:val="none" w:sz="0" w:space="0" w:color="auto"/>
                                                            <w:bottom w:val="none" w:sz="0" w:space="0" w:color="auto"/>
                                                            <w:right w:val="none" w:sz="0" w:space="0" w:color="auto"/>
                                                          </w:divBdr>
                                                          <w:divsChild>
                                                            <w:div w:id="10980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61081">
                                                  <w:marLeft w:val="0"/>
                                                  <w:marRight w:val="0"/>
                                                  <w:marTop w:val="0"/>
                                                  <w:marBottom w:val="0"/>
                                                  <w:divBdr>
                                                    <w:top w:val="none" w:sz="0" w:space="0" w:color="auto"/>
                                                    <w:left w:val="none" w:sz="0" w:space="0" w:color="auto"/>
                                                    <w:bottom w:val="none" w:sz="0" w:space="0" w:color="auto"/>
                                                    <w:right w:val="none" w:sz="0" w:space="0" w:color="auto"/>
                                                  </w:divBdr>
                                                  <w:divsChild>
                                                    <w:div w:id="1726761706">
                                                      <w:marLeft w:val="0"/>
                                                      <w:marRight w:val="0"/>
                                                      <w:marTop w:val="0"/>
                                                      <w:marBottom w:val="0"/>
                                                      <w:divBdr>
                                                        <w:top w:val="none" w:sz="0" w:space="0" w:color="auto"/>
                                                        <w:left w:val="none" w:sz="0" w:space="0" w:color="auto"/>
                                                        <w:bottom w:val="none" w:sz="0" w:space="0" w:color="auto"/>
                                                        <w:right w:val="none" w:sz="0" w:space="0" w:color="auto"/>
                                                      </w:divBdr>
                                                      <w:divsChild>
                                                        <w:div w:id="1376155789">
                                                          <w:marLeft w:val="0"/>
                                                          <w:marRight w:val="0"/>
                                                          <w:marTop w:val="0"/>
                                                          <w:marBottom w:val="0"/>
                                                          <w:divBdr>
                                                            <w:top w:val="none" w:sz="0" w:space="0" w:color="auto"/>
                                                            <w:left w:val="none" w:sz="0" w:space="0" w:color="auto"/>
                                                            <w:bottom w:val="none" w:sz="0" w:space="0" w:color="auto"/>
                                                            <w:right w:val="none" w:sz="0" w:space="0" w:color="auto"/>
                                                          </w:divBdr>
                                                          <w:divsChild>
                                                            <w:div w:id="20950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7418">
                                                  <w:marLeft w:val="0"/>
                                                  <w:marRight w:val="0"/>
                                                  <w:marTop w:val="0"/>
                                                  <w:marBottom w:val="0"/>
                                                  <w:divBdr>
                                                    <w:top w:val="none" w:sz="0" w:space="0" w:color="auto"/>
                                                    <w:left w:val="none" w:sz="0" w:space="0" w:color="auto"/>
                                                    <w:bottom w:val="none" w:sz="0" w:space="0" w:color="auto"/>
                                                    <w:right w:val="none" w:sz="0" w:space="0" w:color="auto"/>
                                                  </w:divBdr>
                                                  <w:divsChild>
                                                    <w:div w:id="210388460">
                                                      <w:marLeft w:val="0"/>
                                                      <w:marRight w:val="0"/>
                                                      <w:marTop w:val="0"/>
                                                      <w:marBottom w:val="0"/>
                                                      <w:divBdr>
                                                        <w:top w:val="none" w:sz="0" w:space="0" w:color="auto"/>
                                                        <w:left w:val="none" w:sz="0" w:space="0" w:color="auto"/>
                                                        <w:bottom w:val="none" w:sz="0" w:space="0" w:color="auto"/>
                                                        <w:right w:val="none" w:sz="0" w:space="0" w:color="auto"/>
                                                      </w:divBdr>
                                                      <w:divsChild>
                                                        <w:div w:id="21192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8758">
                                                  <w:marLeft w:val="0"/>
                                                  <w:marRight w:val="0"/>
                                                  <w:marTop w:val="0"/>
                                                  <w:marBottom w:val="0"/>
                                                  <w:divBdr>
                                                    <w:top w:val="none" w:sz="0" w:space="0" w:color="auto"/>
                                                    <w:left w:val="none" w:sz="0" w:space="0" w:color="auto"/>
                                                    <w:bottom w:val="none" w:sz="0" w:space="0" w:color="auto"/>
                                                    <w:right w:val="none" w:sz="0" w:space="0" w:color="auto"/>
                                                  </w:divBdr>
                                                </w:div>
                                                <w:div w:id="13953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0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9D0225201A754F919B62483E52A039" ma:contentTypeVersion="5" ma:contentTypeDescription="Create a new document." ma:contentTypeScope="" ma:versionID="5ada49a9c3f1f7defedb1273eea9d982">
  <xsd:schema xmlns:xsd="http://www.w3.org/2001/XMLSchema" xmlns:xs="http://www.w3.org/2001/XMLSchema" xmlns:p="http://schemas.microsoft.com/office/2006/metadata/properties" xmlns:ns2="1a41c096-67ce-4ecb-9360-6911fa598279" targetNamespace="http://schemas.microsoft.com/office/2006/metadata/properties" ma:root="true" ma:fieldsID="dd8c3b800839c17ecbe389d08dc949f9" ns2:_="">
    <xsd:import namespace="1a41c096-67ce-4ecb-9360-6911fa598279"/>
    <xsd:element name="properties">
      <xsd:complexType>
        <xsd:sequence>
          <xsd:element name="documentManagement">
            <xsd:complexType>
              <xsd:all>
                <xsd:element ref="ns2:LstName"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1c096-67ce-4ecb-9360-6911fa598279" elementFormDefault="qualified">
    <xsd:import namespace="http://schemas.microsoft.com/office/2006/documentManagement/types"/>
    <xsd:import namespace="http://schemas.microsoft.com/office/infopath/2007/PartnerControls"/>
    <xsd:element name="LstName" ma:index="8" nillable="true" ma:displayName="LstName" ma:hidden="true" ma:internalName="LstName" ma:readOnly="false">
      <xsd:simpleType>
        <xsd:restriction base="dms:Text">
          <xsd:maxLength value="255"/>
        </xsd:restriction>
      </xsd:simpleType>
    </xsd:element>
    <xsd:element name="Status" ma:index="9" nillable="true" ma:displayName="Status" ma:default="New" ma:format="Dropdown" ma:internalName="Status">
      <xsd:simpleType>
        <xsd:restriction base="dms:Choice">
          <xsd:enumeration value="New"/>
          <xsd:enumeration value="Archi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stName xmlns="1a41c096-67ce-4ecb-9360-6911fa598279" xsi:nil="true"/>
    <Status xmlns="1a41c096-67ce-4ecb-9360-6911fa598279">New</Status>
  </documentManagement>
</p:properties>
</file>

<file path=customXml/itemProps1.xml><?xml version="1.0" encoding="utf-8"?>
<ds:datastoreItem xmlns:ds="http://schemas.openxmlformats.org/officeDocument/2006/customXml" ds:itemID="{4AE4FB54-5536-4090-9CE8-1F2F9F00B9CB}">
  <ds:schemaRefs>
    <ds:schemaRef ds:uri="http://schemas.microsoft.com/sharepoint/v3/contenttype/forms"/>
  </ds:schemaRefs>
</ds:datastoreItem>
</file>

<file path=customXml/itemProps2.xml><?xml version="1.0" encoding="utf-8"?>
<ds:datastoreItem xmlns:ds="http://schemas.openxmlformats.org/officeDocument/2006/customXml" ds:itemID="{97D56E66-B245-4D3B-B0DE-8E522A91F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1c096-67ce-4ecb-9360-6911fa598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A6A0C6-38F5-46A2-B71A-40CE94C85FFA}">
  <ds:schemaRefs>
    <ds:schemaRef ds:uri="http://schemas.microsoft.com/office/2006/metadata/properties"/>
    <ds:schemaRef ds:uri="http://schemas.microsoft.com/office/infopath/2007/PartnerControls"/>
    <ds:schemaRef ds:uri="1a41c096-67ce-4ecb-9360-6911fa5982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1336167</dc:creator>
  <cp:lastModifiedBy>Sukumaran, Vijay Ganesh</cp:lastModifiedBy>
  <cp:revision>1</cp:revision>
  <cp:lastPrinted>2019-06-03T08:58:00Z</cp:lastPrinted>
  <dcterms:created xsi:type="dcterms:W3CDTF">2019-06-03T08:59:00Z</dcterms:created>
  <dcterms:modified xsi:type="dcterms:W3CDTF">2019-06-03T08:59:00Z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0x010100B99D0225201A754F919B62483E52A039</vt:lpwstr>
  </property>
</Properties>
</file>