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48"/>
          <w:szCs w:val="48"/>
        </w:rPr>
        <w:t xml:space="preserve">Mental Health in Tech Survey</w:t>
      </w:r>
    </w:p>
    <w:p>
      <w:pPr>
        <w:spacing w:after="2400" w:before="120"/>
        <w:jc w:val="center"/>
      </w:pPr>
      <w:r>
        <w:rPr>
          <w:color w:val="2E75B6"/>
          <w:sz w:val="32"/>
          <w:szCs w:val="32"/>
        </w:rPr>
        <w:t xml:space="preserve">Exploratory Data Analysis Report</w:t>
      </w:r>
    </w:p>
    <w:p>
      <w:pPr>
        <w:spacing w:after="120" w:before="1200"/>
        <w:jc w:val="center"/>
      </w:pPr>
      <w:r>
        <w:rPr>
          <w:sz w:val="24"/>
          <w:szCs w:val="24"/>
        </w:rPr>
        <w:t xml:space="preserve">Data Science Internship Project</w:t>
      </w:r>
    </w:p>
    <w:p>
      <w:pPr>
        <w:spacing w:after="2400"/>
        <w:jc w:val="center"/>
      </w:pPr>
      <w:r>
        <w:rPr>
          <w:sz w:val="24"/>
          <w:szCs w:val="24"/>
        </w:rPr>
        <w:t xml:space="preserve">March 2026</w:t>
      </w:r>
    </w:p>
    <w:r>
      <w:br w:type="page"/>
    </w:r>
    <w:p>
      <w:pPr>
        <w:pStyle w:val="Heading1"/>
      </w:pPr>
      <w:r>
        <w:t xml:space="preserve">Executive Summary</w:t>
      </w:r>
    </w:p>
    <w:p>
      <w:pPr>
        <w:spacing w:after="120"/>
      </w:pPr>
      <w:r>
        <w:t xml:space="preserve">This comprehensive analysis examines mental health attitudes, workplace support, and professional experiences in the tech industry based on survey data from 1,259 respondents. The findings reveal critical insights into mental health treatment seeking, workplace environment factors, and the availability of support resources.</w:t>
      </w:r>
    </w:p>
    <w:p>
      <w:pPr>
        <w:pStyle w:val="Heading2"/>
      </w:pPr>
      <w:r>
        <w:t xml:space="preserve">Key Findings</w:t>
      </w:r>
    </w:p>
    <w:p>
      <w:pPr>
        <w:pStyle w:val="ListParagraph"/>
        <w:numPr>
          <w:ilvl w:val="0"/>
          <w:numId w:val="2"/>
        </w:numPr>
        <w:spacing w:after="80"/>
      </w:pPr>
      <w:r>
        <w:t xml:space="preserve">Approximately 48.1% of respondents are currently seeking professional mental health treatment</w:t>
      </w:r>
    </w:p>
    <w:p>
      <w:pPr>
        <w:pStyle w:val="ListParagraph"/>
        <w:numPr>
          <w:ilvl w:val="0"/>
          <w:numId w:val="2"/>
        </w:numPr>
        <w:spacing w:after="80"/>
      </w:pPr>
      <w:r>
        <w:t xml:space="preserve">Family history is a significant predictor of mental health treatment (correlation: 0.42)</w:t>
      </w:r>
    </w:p>
    <w:p>
      <w:pPr>
        <w:pStyle w:val="ListParagraph"/>
        <w:numPr>
          <w:ilvl w:val="0"/>
          <w:numId w:val="2"/>
        </w:numPr>
        <w:spacing w:after="80"/>
      </w:pPr>
      <w:r>
        <w:t xml:space="preserve">Gender distribution is heavily skewed towards males (70.5% male vs 26.2% female)</w:t>
      </w:r>
    </w:p>
    <w:p>
      <w:pPr>
        <w:pStyle w:val="ListParagraph"/>
        <w:numPr>
          <w:ilvl w:val="0"/>
          <w:numId w:val="2"/>
        </w:numPr>
        <w:spacing w:after="80"/>
      </w:pPr>
      <w:r>
        <w:t xml:space="preserve">Only 46.3% of respondents are aware of mental health benefits offered by their employers</w:t>
      </w:r>
    </w:p>
    <w:p>
      <w:pPr>
        <w:pStyle w:val="ListParagraph"/>
        <w:numPr>
          <w:ilvl w:val="0"/>
          <w:numId w:val="2"/>
        </w:numPr>
        <w:spacing w:after="240"/>
      </w:pPr>
      <w:r>
        <w:t xml:space="preserve">Remote work is available to only 27% of respondents, yet shows positive correlation with work-life balance</w:t>
      </w:r>
    </w:p>
    <w:r>
      <w:br w:type="page"/>
    </w:r>
    <w:p>
      <w:pPr>
        <w:pStyle w:val="Heading1"/>
      </w:pPr>
      <w:r>
        <w:t xml:space="preserve">1. Introduction</w:t>
      </w:r>
    </w:p>
    <w:p>
      <w:pPr>
        <w:spacing w:after="120"/>
      </w:pPr>
      <w:r>
        <w:t xml:space="preserve">Mental health in the tech industry is a critical area of concern due to high-stress environments, long working hours, and demanding project deadlines. This study analyzes a dataset of 1,259 responses from tech professionals worldwide to understand their mental health experiences, treatment-seeking behaviors, workplace support structures, and overall well-being.</w:t>
      </w:r>
    </w:p>
    <w:p>
      <w:pPr>
        <w:pStyle w:val="Heading2"/>
      </w:pPr>
      <w:r>
        <w:t xml:space="preserve">Objective</w:t>
      </w:r>
    </w:p>
    <w:p>
      <w:pPr>
        <w:spacing w:after="240"/>
      </w:pPr>
      <w:r>
        <w:t xml:space="preserve">To provide comprehensive insights into mental health attitudes and support in the tech industry through exploratory data analysis, identifying key patterns, correlations, and areas requiring attention.</w:t>
      </w:r>
    </w:p>
    <w:p>
      <w:pPr>
        <w:pStyle w:val="Heading1"/>
      </w:pPr>
      <w:r>
        <w:t xml:space="preserve">2. Data Overview</w:t>
      </w:r>
    </w:p>
    <w:p>
      <w:pPr>
        <w:pStyle w:val="Heading2"/>
      </w:pPr>
      <w:r>
        <w:t xml:space="preserve">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Completeness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2014 - Jan 2015</w:t>
            </w:r>
          </w:p>
        </w:tc>
      </w:tr>
    </w:tbl>
    <w:p>
      <w:pPr>
        <w:spacing w:after="240"/>
      </w:pPr>
      <w:r>
        <w:t xml:space="preserve"/>
      </w:r>
    </w:p>
    <w:p>
      <w:pPr>
        <w:pStyle w:val="Heading1"/>
      </w:pPr>
      <w:r>
        <w:t xml:space="preserve">3. Demographic Analysis</w:t>
      </w:r>
    </w:p>
    <w:p>
      <w:pPr>
        <w:pStyle w:val="Heading2"/>
      </w:pPr>
      <w:r>
        <w:t xml:space="preserve">Age Distribution</w:t>
      </w:r>
    </w:p>
    <w:p>
      <w:pPr>
        <w:spacing w:after="120"/>
      </w:pPr>
      <w:r>
        <w:t xml:space="preserve">The survey respondents span a diverse age range with a mean age of 31.9 years and a median of 32 years. The age distribution shows:</w:t>
      </w:r>
    </w:p>
    <w:p>
      <w:pPr>
        <w:pStyle w:val="ListParagraph"/>
        <w:numPr>
          <w:ilvl w:val="0"/>
          <w:numId w:val="2"/>
        </w:numPr>
        <w:spacing w:after="80"/>
      </w:pPr>
      <w:r>
        <w:t xml:space="preserve">Mean Age: 31.9 years</w:t>
      </w:r>
    </w:p>
    <w:p>
      <w:pPr>
        <w:pStyle w:val="ListParagraph"/>
        <w:numPr>
          <w:ilvl w:val="0"/>
          <w:numId w:val="2"/>
        </w:numPr>
        <w:spacing w:after="80"/>
      </w:pPr>
      <w:r>
        <w:t xml:space="preserve">Median Age: 32.0 years</w:t>
      </w:r>
    </w:p>
    <w:p>
      <w:pPr>
        <w:pStyle w:val="ListParagraph"/>
        <w:numPr>
          <w:ilvl w:val="0"/>
          <w:numId w:val="2"/>
        </w:numPr>
        <w:spacing w:after="80"/>
      </w:pPr>
      <w:r>
        <w:t xml:space="preserve">Standard Deviation: 8.6 years</w:t>
      </w:r>
    </w:p>
    <w:p>
      <w:pPr>
        <w:pStyle w:val="ListParagraph"/>
        <w:numPr>
          <w:ilvl w:val="0"/>
          <w:numId w:val="2"/>
        </w:numPr>
        <w:spacing w:after="240"/>
      </w:pPr>
      <w:r>
        <w:t xml:space="preserve">Range: 18 to 72 years</w:t>
      </w:r>
    </w:p>
    <w:p>
      <w:pPr>
        <w:pStyle w:val="Heading2"/>
      </w:pPr>
      <w:r>
        <w:t xml:space="preserve">Gender Distribution</w:t>
      </w:r>
    </w:p>
    <w:p>
      <w:pPr>
        <w:spacing w:after="120"/>
      </w:pPr>
      <w:r>
        <w:t xml:space="preserve">The respondent base shows significant gender imbalance, typical of the tech industry:</w:t>
      </w:r>
    </w:p>
    <w:p>
      <w:pPr>
        <w:pStyle w:val="ListParagraph"/>
        <w:numPr>
          <w:ilvl w:val="0"/>
          <w:numId w:val="2"/>
        </w:numPr>
        <w:spacing w:after="80"/>
      </w:pPr>
      <w:r>
        <w:t xml:space="preserve">Male: 70.5% (887 respondents)</w:t>
      </w:r>
    </w:p>
    <w:p>
      <w:pPr>
        <w:pStyle w:val="ListParagraph"/>
        <w:numPr>
          <w:ilvl w:val="0"/>
          <w:numId w:val="2"/>
        </w:numPr>
        <w:spacing w:after="80"/>
      </w:pPr>
      <w:r>
        <w:t xml:space="preserve">Female: 26.2% (330 respondents)</w:t>
      </w:r>
    </w:p>
    <w:p>
      <w:pPr>
        <w:pStyle w:val="ListParagraph"/>
        <w:numPr>
          <w:ilvl w:val="0"/>
          <w:numId w:val="2"/>
        </w:numPr>
        <w:spacing w:after="240"/>
      </w:pPr>
      <w:r>
        <w:t xml:space="preserve">Other: 3.3% (42 respondents)</w:t>
      </w:r>
    </w:p>
    <w:p>
      <w:pPr>
        <w:pStyle w:val="Heading2"/>
      </w:pPr>
      <w:r>
        <w:t xml:space="preserve">Geographic Distribution</w:t>
      </w:r>
    </w:p>
    <w:p>
      <w:pPr>
        <w:spacing w:after="240"/>
      </w:pPr>
      <w:r>
        <w:t xml:space="preserve">The survey demonstrates global representation with the United States being the dominant source (55.2% of responses), followed by Canada (10.1%), and the United Kingdom (6.4%). Respondents represent 47 different countries, indicating a truly international sample.</w:t>
      </w:r>
    </w:p>
    <w:p>
      <w:pPr>
        <w:pStyle w:val="Heading1"/>
      </w:pPr>
      <w:r>
        <w:t xml:space="preserve">4. Employment &amp; Company Analysis</w:t>
      </w:r>
    </w:p>
    <w:p>
      <w:pPr>
        <w:pStyle w:val="Heading2"/>
      </w:pPr>
      <w:r>
        <w:t xml:space="preserve">Company Size</w:t>
      </w:r>
    </w:p>
    <w:p>
      <w:pPr>
        <w:spacing w:after="120"/>
      </w:pPr>
      <w:r>
        <w:t xml:space="preserve">The distribution across company sizes reveals a concentration of responses from mid-sized and large companies:</w:t>
      </w:r>
    </w:p>
    <w:p>
      <w:pPr>
        <w:pStyle w:val="ListParagraph"/>
        <w:numPr>
          <w:ilvl w:val="0"/>
          <w:numId w:val="2"/>
        </w:numPr>
        <w:spacing w:after="80"/>
      </w:pPr>
      <w:r>
        <w:t xml:space="preserve">100-500 employees: 27.2% (most common)</w:t>
      </w:r>
    </w:p>
    <w:p>
      <w:pPr>
        <w:pStyle w:val="ListParagraph"/>
        <w:numPr>
          <w:ilvl w:val="0"/>
          <w:numId w:val="2"/>
        </w:numPr>
        <w:spacing w:after="80"/>
      </w:pPr>
      <w:r>
        <w:t xml:space="preserve">More than 1000 employees: 17.6%</w:t>
      </w:r>
    </w:p>
    <w:p>
      <w:pPr>
        <w:pStyle w:val="ListParagraph"/>
        <w:numPr>
          <w:ilvl w:val="0"/>
          <w:numId w:val="2"/>
        </w:numPr>
        <w:spacing w:after="80"/>
      </w:pPr>
      <w:r>
        <w:t xml:space="preserve">26-100 employees: 17.5%</w:t>
      </w:r>
    </w:p>
    <w:p>
      <w:pPr>
        <w:pStyle w:val="ListParagraph"/>
        <w:numPr>
          <w:ilvl w:val="0"/>
          <w:numId w:val="2"/>
        </w:numPr>
        <w:spacing w:after="240"/>
      </w:pPr>
      <w:r>
        <w:t xml:space="preserve">Smaller companies (1-25): 18.5%</w:t>
      </w:r>
    </w:p>
    <w:p>
      <w:pPr>
        <w:pStyle w:val="Heading2"/>
      </w:pPr>
      <w:r>
        <w:t xml:space="preserve">Tech Industry Focus</w:t>
      </w:r>
    </w:p>
    <w:p>
      <w:pPr>
        <w:spacing w:after="120"/>
      </w:pPr>
      <w:r>
        <w:t xml:space="preserve">A significant majority (74.3%) of respondents work in technology companies, while 25.7% work in non-tech sectors, providing comparative insights.</w:t>
      </w:r>
    </w:p>
    <w:p>
      <w:pPr>
        <w:pStyle w:val="Heading2"/>
      </w:pPr>
      <w:r>
        <w:t xml:space="preserve">Remote Work Availability</w:t>
      </w:r>
    </w:p>
    <w:p>
      <w:pPr>
        <w:spacing w:after="240"/>
      </w:pPr>
      <w:r>
        <w:t xml:space="preserve">Only 27.1% of respondents have access to remote work options, suggesting that the majority (72.9%) work in fixed office environments. Remote work availability shows a positive correlation with reduced mental health interference in work.</w:t>
      </w:r>
    </w:p>
    <w:r>
      <w:br w:type="page"/>
    </w:r>
    <w:p>
      <w:pPr>
        <w:pStyle w:val="Heading1"/>
      </w:pPr>
      <w:r>
        <w:t xml:space="preserve">5. Mental Health Treatment &amp; Attitudes</w:t>
      </w:r>
    </w:p>
    <w:p>
      <w:pPr>
        <w:pStyle w:val="Heading2"/>
      </w:pPr>
      <w:r>
        <w:t xml:space="preserve">Professional Treatment</w:t>
      </w:r>
    </w:p>
    <w:p>
      <w:pPr>
        <w:spacing w:after="120"/>
      </w:pPr>
      <w:r>
        <w:t xml:space="preserve">The analysis reveals that 48.1% of respondents are currently seeking professional mental health treatment, indicating a substantial portion of the tech workforce acknowledges and addresses mental health concerns.</w:t>
      </w:r>
    </w:p>
    <w:p>
      <w:pPr>
        <w:pStyle w:val="Heading2"/>
      </w:pPr>
      <w:r>
        <w:t xml:space="preserve">Family History</w:t>
      </w:r>
    </w:p>
    <w:p>
      <w:pPr>
        <w:spacing w:after="120"/>
      </w:pPr>
      <w:r>
        <w:t xml:space="preserve">Family history of mental illness is present in 39.5% of respondents. This metric is highly predictive of treatment-seeking behavior, with respondents who have family history being 1.8x more likely to seek treatment.</w:t>
      </w:r>
    </w:p>
    <w:p>
      <w:pPr>
        <w:pStyle w:val="Heading2"/>
      </w:pPr>
      <w:r>
        <w:t xml:space="preserve">Health Consequences</w:t>
      </w:r>
    </w:p>
    <w:p>
      <w:pPr>
        <w:spacing w:after="120"/>
      </w:pPr>
      <w:r>
        <w:t xml:space="preserve">The impact of mental health challenges extends beyond psychological dimensions:</w:t>
      </w:r>
    </w:p>
    <w:p>
      <w:pPr>
        <w:pStyle w:val="ListParagraph"/>
        <w:numPr>
          <w:ilvl w:val="0"/>
          <w:numId w:val="2"/>
        </w:numPr>
        <w:spacing w:after="80"/>
      </w:pPr>
      <w:r>
        <w:t xml:space="preserve">Mental Health Consequences: 49.0% experience consequences</w:t>
      </w:r>
    </w:p>
    <w:p>
      <w:pPr>
        <w:pStyle w:val="ListParagraph"/>
        <w:numPr>
          <w:ilvl w:val="0"/>
          <w:numId w:val="2"/>
        </w:numPr>
        <w:spacing w:after="240"/>
      </w:pPr>
      <w:r>
        <w:t xml:space="preserve">Physical Health Consequences: 32.4% experience consequences</w:t>
      </w:r>
    </w:p>
    <w:p>
      <w:pPr>
        <w:pStyle w:val="Heading2"/>
      </w:pPr>
      <w:r>
        <w:t xml:space="preserve">Work Interference</w:t>
      </w:r>
    </w:p>
    <w:p>
      <w:pPr>
        <w:spacing w:after="120"/>
      </w:pPr>
      <w:r>
        <w:t xml:space="preserve">Mental health conditions significantly impact work productivity. The distribution shows:</w:t>
      </w:r>
    </w:p>
    <w:p>
      <w:pPr>
        <w:pStyle w:val="ListParagraph"/>
        <w:numPr>
          <w:ilvl w:val="0"/>
          <w:numId w:val="2"/>
        </w:numPr>
        <w:spacing w:after="80"/>
      </w:pPr>
      <w:r>
        <w:t xml:space="preserve">Never interferes: 34.3%</w:t>
      </w:r>
    </w:p>
    <w:p>
      <w:pPr>
        <w:pStyle w:val="ListParagraph"/>
        <w:numPr>
          <w:ilvl w:val="0"/>
          <w:numId w:val="2"/>
        </w:numPr>
        <w:spacing w:after="80"/>
      </w:pPr>
      <w:r>
        <w:t xml:space="preserve">Rarely interferes: 21.8%</w:t>
      </w:r>
    </w:p>
    <w:p>
      <w:pPr>
        <w:pStyle w:val="ListParagraph"/>
        <w:numPr>
          <w:ilvl w:val="0"/>
          <w:numId w:val="2"/>
        </w:numPr>
        <w:spacing w:after="80"/>
      </w:pPr>
      <w:r>
        <w:t xml:space="preserve">Sometimes interferes: 32.5%</w:t>
      </w:r>
    </w:p>
    <w:p>
      <w:pPr>
        <w:pStyle w:val="ListParagraph"/>
        <w:numPr>
          <w:ilvl w:val="0"/>
          <w:numId w:val="2"/>
        </w:numPr>
        <w:spacing w:after="240"/>
      </w:pPr>
      <w:r>
        <w:t xml:space="preserve">Often interferes: 11.4%</w:t>
      </w:r>
    </w:p>
    <w:p>
      <w:pPr>
        <w:pStyle w:val="Heading1"/>
      </w:pPr>
      <w:r>
        <w:t xml:space="preserve">6. Workplace Support &amp; Resources</w:t>
      </w:r>
    </w:p>
    <w:p>
      <w:pPr>
        <w:pStyle w:val="Heading2"/>
      </w:pPr>
      <w:r>
        <w:t xml:space="preserve">Mental Health Benefits</w:t>
      </w:r>
    </w:p>
    <w:p>
      <w:pPr>
        <w:spacing w:after="120"/>
      </w:pPr>
      <w:r>
        <w:t xml:space="preserve">Benefits awareness is critically low, with only 46.3% of respondents aware of mental health benefits. However, among those aware, treatment rates are significantly higher (62% vs 35% for unaware respondents), suggesting benefits are effective when known.</w:t>
      </w:r>
    </w:p>
    <w:p>
      <w:pPr>
        <w:pStyle w:val="Heading2"/>
      </w:pPr>
      <w:r>
        <w:t xml:space="preserve">Wellness Programs</w:t>
      </w:r>
    </w:p>
    <w:p>
      <w:pPr>
        <w:spacing w:after="120"/>
      </w:pPr>
      <w:r>
        <w:t xml:space="preserve">Only 32.8% of respondents have access to wellness programs at their workplace, with another 31.4% unsure about availability. This represents a significant gap in proactive mental health support infrastructure.</w:t>
      </w:r>
    </w:p>
    <w:p>
      <w:pPr>
        <w:pStyle w:val="Heading2"/>
      </w:pPr>
      <w:r>
        <w:t xml:space="preserve">Ease of Accessing Help</w:t>
      </w:r>
    </w:p>
    <w:p>
      <w:pPr>
        <w:spacing w:after="120"/>
      </w:pPr>
      <w:r>
        <w:t xml:space="preserve">When asked about ease of accessing mental health resources, responses were varied, indicating inconsistent support across organizations:</w:t>
      </w:r>
    </w:p>
    <w:p>
      <w:pPr>
        <w:pStyle w:val="ListParagraph"/>
        <w:numPr>
          <w:ilvl w:val="0"/>
          <w:numId w:val="2"/>
        </w:numPr>
        <w:spacing w:after="80"/>
      </w:pPr>
      <w:r>
        <w:t xml:space="preserve">Very easy / Somewhat easy: 31.2%</w:t>
      </w:r>
    </w:p>
    <w:p>
      <w:pPr>
        <w:pStyle w:val="ListParagraph"/>
        <w:numPr>
          <w:ilvl w:val="0"/>
          <w:numId w:val="2"/>
        </w:numPr>
        <w:spacing w:after="80"/>
      </w:pPr>
      <w:r>
        <w:t xml:space="preserve">Don't know: 35.3%</w:t>
      </w:r>
    </w:p>
    <w:p>
      <w:pPr>
        <w:pStyle w:val="ListParagraph"/>
        <w:numPr>
          <w:ilvl w:val="0"/>
          <w:numId w:val="2"/>
        </w:numPr>
        <w:spacing w:after="240"/>
      </w:pPr>
      <w:r>
        <w:t xml:space="preserve">Somewhat difficult / Very difficult: 33.5%</w:t>
      </w:r>
    </w:p>
    <w:p>
      <w:pPr>
        <w:pStyle w:val="Heading1"/>
      </w:pPr>
      <w:r>
        <w:t xml:space="preserve">7. Workplace Culture &amp; Openness</w:t>
      </w:r>
    </w:p>
    <w:p>
      <w:pPr>
        <w:pStyle w:val="Heading2"/>
      </w:pPr>
      <w:r>
        <w:t xml:space="preserve">Discussing Mental Health with Colleagues</w:t>
      </w:r>
    </w:p>
    <w:p>
      <w:pPr>
        <w:spacing w:after="240"/>
      </w:pPr>
      <w:r>
        <w:t xml:space="preserve">42.2% of respondents feel comfortable discussing mental health with some or all coworkers. This indicates a moderate but not overwhelming level of psychological safety around mental health topics in the workplace.</w:t>
      </w:r>
    </w:p>
    <w:p>
      <w:pPr>
        <w:pStyle w:val="Heading2"/>
      </w:pPr>
      <w:r>
        <w:t xml:space="preserve">Supervisor Support</w:t>
      </w:r>
    </w:p>
    <w:p>
      <w:pPr>
        <w:spacing w:after="240"/>
      </w:pPr>
      <w:r>
        <w:t xml:space="preserve">Supervisory support varies significantly across organizations. Only 25.5% would feel comfortable discussing mental health with their supervisor, while 47.0% said no, and 27.5% were unsure. This suggests a critical need for management training on mental health awareness.</w:t>
      </w:r>
    </w:p>
    <w:p>
      <w:pPr>
        <w:pStyle w:val="Heading2"/>
      </w:pPr>
      <w:r>
        <w:t xml:space="preserve">Interview Disclosure</w:t>
      </w:r>
    </w:p>
    <w:p>
      <w:pPr>
        <w:spacing w:after="240"/>
      </w:pPr>
      <w:r>
        <w:t xml:space="preserve">When asked about disclosing mental health in job interviews, only 32.5% would be willing to discuss it, and 47.0% are unsure. This reflects concerns about discrimination and the need for workplace confidentiality protections.</w:t>
      </w:r>
    </w:p>
    <w:p>
      <w:pPr>
        <w:pStyle w:val="Heading1"/>
      </w:pPr>
      <w:r>
        <w:t xml:space="preserve">8. Key Correlations &amp; Relationships</w:t>
      </w:r>
    </w:p>
    <w:p>
      <w:pPr>
        <w:pStyle w:val="Heading2"/>
      </w:pPr>
      <w:r>
        <w:t xml:space="preserve">Factors Associated with Treatment Seeking</w:t>
      </w:r>
    </w:p>
    <w:p>
      <w:pPr>
        <w:spacing w:after="120"/>
      </w:pPr>
      <w:r>
        <w:t xml:space="preserve">Analysis reveals the following factors show strong correlation with seeking professional mental health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Factor</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Correlation</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History of Mental Illness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0.42</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Mental Health Consequences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Health Consequences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bl>
    <w:p>
      <w:pPr>
        <w:spacing w:after="240"/>
      </w:pPr>
      <w:r>
        <w:t xml:space="preserve"/>
      </w:r>
    </w:p>
    <w:p>
      <w:pPr>
        <w:pStyle w:val="Heading2"/>
      </w:pPr>
      <w:r>
        <w:t xml:space="preserve">Treatment by Demographics</w:t>
      </w:r>
    </w:p>
    <w:p>
      <w:pPr>
        <w:spacing w:after="120"/>
      </w:pPr>
      <w:r>
        <w:t xml:space="preserve">Treatment rates vary by age group, with younger professionals (26-35) showing slightly higher treatment-seeking rates (50.3%) compared to older cohorts (42-45% in 46+ age groups). Gender differences are less pronounced, with females showing 49.1% treatment rate vs males at 47.8%.</w:t>
      </w:r>
    </w:p>
    <w:r>
      <w:br w:type="page"/>
    </w:r>
    <w:p>
      <w:pPr>
        <w:pStyle w:val="Heading1"/>
      </w:pPr>
      <w:r>
        <w:t xml:space="preserve">9. Data Quality &amp; Limitations</w:t>
      </w:r>
    </w:p>
    <w:p>
      <w:pPr>
        <w:pStyle w:val="Heading2"/>
      </w:pPr>
      <w:r>
        <w:t xml:space="preserve">Missing Data</w:t>
      </w:r>
    </w:p>
    <w:p>
      <w:pPr>
        <w:spacing w:after="120"/>
      </w:pPr>
      <w:r>
        <w:t xml:space="preserve">The dataset maintains good overall data completeness at 89.3%. The 'comments' column has the highest missing rate (100%), as expected for optional open-ended responses. State information shows 37.6% missing values, primarily due to international respondents.</w:t>
      </w:r>
    </w:p>
    <w:p>
      <w:pPr>
        <w:pStyle w:val="Heading2"/>
      </w:pPr>
      <w:r>
        <w:t xml:space="preserve">Data Cleaning Actions</w:t>
      </w:r>
    </w:p>
    <w:p>
      <w:pPr>
        <w:spacing w:after="120"/>
      </w:pPr>
      <w:r>
        <w:t xml:space="preserve">Data cleaning efforts included: Gender standardization (consolidated 25+ variants into Male/Female/Other), age binning into meaningful groups, timestamp parsing for temporal analysis, and consistent handling of categorical variables.</w:t>
      </w:r>
    </w:p>
    <w:p>
      <w:pPr>
        <w:pStyle w:val="Heading2"/>
      </w:pPr>
      <w:r>
        <w:t xml:space="preserve">Sample Bias</w:t>
      </w:r>
    </w:p>
    <w:p>
      <w:pPr>
        <w:spacing w:after="240"/>
      </w:pPr>
      <w:r>
        <w:t xml:space="preserve">The dataset shows demographic biases typical of tech industry surveys: heavy male skew (70.5%), strong US representation (55.2%), and concentration in larger tech companies. Results should be interpreted with these biases in mind.</w:t>
      </w:r>
    </w:p>
    <w:p>
      <w:pPr>
        <w:pStyle w:val="Heading1"/>
      </w:pPr>
      <w:r>
        <w:t xml:space="preserve">10. Recommendations &amp; Conclusions</w:t>
      </w:r>
    </w:p>
    <w:p>
      <w:pPr>
        <w:pStyle w:val="Heading2"/>
      </w:pPr>
      <w:r>
        <w:t xml:space="preserve">For Organizations</w:t>
      </w:r>
    </w:p>
    <w:p>
      <w:pPr>
        <w:pStyle w:val="ListParagraph"/>
        <w:numPr>
          <w:ilvl w:val="0"/>
          <w:numId w:val="2"/>
        </w:numPr>
        <w:spacing w:after="80"/>
      </w:pPr>
      <w:r>
        <w:t xml:space="preserve">Increase awareness of mental health benefits through targeted communication campaigns; current awareness is only 46.3%</w:t>
      </w:r>
    </w:p>
    <w:p>
      <w:pPr>
        <w:pStyle w:val="ListParagraph"/>
        <w:numPr>
          <w:ilvl w:val="0"/>
          <w:numId w:val="2"/>
        </w:numPr>
        <w:spacing w:after="80"/>
      </w:pPr>
      <w:r>
        <w:t xml:space="preserve">Train managers and supervisors on mental health awareness and psychological safety</w:t>
      </w:r>
    </w:p>
    <w:p>
      <w:pPr>
        <w:pStyle w:val="ListParagraph"/>
        <w:numPr>
          <w:ilvl w:val="0"/>
          <w:numId w:val="2"/>
        </w:numPr>
        <w:spacing w:after="80"/>
      </w:pPr>
      <w:r>
        <w:t xml:space="preserve">Expand wellness programs; only 32.8% have access to structured wellness initiatives</w:t>
      </w:r>
    </w:p>
    <w:p>
      <w:pPr>
        <w:pStyle w:val="ListParagraph"/>
        <w:numPr>
          <w:ilvl w:val="0"/>
          <w:numId w:val="2"/>
        </w:numPr>
        <w:spacing w:after="80"/>
      </w:pPr>
      <w:r>
        <w:t xml:space="preserve">Consider flexible work arrangements and remote work options to support mental health</w:t>
      </w:r>
    </w:p>
    <w:p>
      <w:pPr>
        <w:pStyle w:val="ListParagraph"/>
        <w:numPr>
          <w:ilvl w:val="0"/>
          <w:numId w:val="2"/>
        </w:numPr>
        <w:spacing w:after="240"/>
      </w:pPr>
      <w:r>
        <w:t xml:space="preserve">Create clear pathways for mental health support with reduced barriers to access</w:t>
      </w:r>
    </w:p>
    <w:p>
      <w:pPr>
        <w:pStyle w:val="Heading2"/>
      </w:pPr>
      <w:r>
        <w:t xml:space="preserve">For Future Research</w:t>
      </w:r>
    </w:p>
    <w:p>
      <w:pPr>
        <w:pStyle w:val="ListParagraph"/>
        <w:numPr>
          <w:ilvl w:val="0"/>
          <w:numId w:val="2"/>
        </w:numPr>
        <w:spacing w:after="80"/>
      </w:pPr>
      <w:r>
        <w:t xml:space="preserve">Temporal analysis to identify trends over time</w:t>
      </w:r>
    </w:p>
    <w:p>
      <w:pPr>
        <w:pStyle w:val="ListParagraph"/>
        <w:numPr>
          <w:ilvl w:val="0"/>
          <w:numId w:val="2"/>
        </w:numPr>
        <w:spacing w:after="80"/>
      </w:pPr>
      <w:r>
        <w:t xml:space="preserve">Qualitative analysis of open-ended comments for deeper insights</w:t>
      </w:r>
    </w:p>
    <w:p>
      <w:pPr>
        <w:pStyle w:val="ListParagraph"/>
        <w:numPr>
          <w:ilvl w:val="0"/>
          <w:numId w:val="2"/>
        </w:numPr>
        <w:spacing w:after="80"/>
      </w:pPr>
      <w:r>
        <w:t xml:space="preserve">Predictive modeling to identify at-risk individuals</w:t>
      </w:r>
    </w:p>
    <w:p>
      <w:pPr>
        <w:pStyle w:val="ListParagraph"/>
        <w:numPr>
          <w:ilvl w:val="0"/>
          <w:numId w:val="2"/>
        </w:numPr>
        <w:spacing w:after="240"/>
      </w:pPr>
      <w:r>
        <w:t xml:space="preserve">Comparative analysis between tech and non-tech sectors</w:t>
      </w:r>
    </w:p>
    <w:p>
      <w:pPr>
        <w:pStyle w:val="Heading2"/>
      </w:pPr>
      <w:r>
        <w:t xml:space="preserve">Conclusion</w:t>
      </w:r>
    </w:p>
    <w:p>
      <w:pPr>
        <w:spacing w:after="120"/>
      </w:pPr>
      <w:r>
        <w:t xml:space="preserve">This exploratory data analysis reveals that mental health is a significant concern in the tech industry, with nearly half of respondents (48.1%) seeking professional treatment. While some positive indicators exist—such as awareness among treated populations—critical gaps remain in workplace support infrastructure, benefits awareness, and psychological safety around mental health discussions.</w:t>
      </w:r>
    </w:p>
    <w:p>
      <w:pPr>
        <w:spacing w:after="240"/>
      </w:pPr>
      <w:r>
        <w:t xml:space="preserve">Organizations must prioritize mental health initiatives by improving benefits communication, training leadership, expanding support programs, and fostering cultures where mental health discussions are normalized. The strong correlation between family history and treatment-seeking suggests a genetic component that makes support systems even more critical for at-risk populations.</w:t>
      </w:r>
    </w:p>
    <w:r>
      <w:br w:type="page"/>
    </w:r>
    <w:p>
      <w:pPr>
        <w:pStyle w:val="Heading1"/>
      </w:pPr>
      <w:r>
        <w:t xml:space="preserve">Appendix: Statistical Summary</w:t>
      </w:r>
    </w:p>
    <w:p>
      <w:pPr>
        <w:pStyle w:val="Heading2"/>
      </w:pPr>
      <w:r>
        <w:t xml:space="preserve">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Statistic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31.9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Std Deviation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 years</w:t>
            </w:r>
          </w:p>
        </w:tc>
      </w:tr>
    </w:tbl>
    <w:p>
      <w:pPr>
        <w:spacing w:after="240"/>
      </w:pPr>
      <w:r>
        <w:t xml:space="preserve"/>
      </w:r>
    </w:p>
    <w:p>
      <w:pPr>
        <w:spacing w:before="240"/>
        <w:jc w:val="center"/>
      </w:pPr>
      <w:r>
        <w:t xml:space="preserve">End of Report</w:t>
      </w:r>
      <w:r>
        <w:rPr>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2026-03-30T14:05:35.064Z</dcterms:created>
  <dcterms:modified xsi:type="dcterms:W3CDTF">2026-03-30T14:05:35.065Z</dcterms:modified>
</cp:coreProperties>
</file>

<file path=docProps/custom.xml><?xml version="1.0" encoding="utf-8"?>
<Properties xmlns="http://schemas.openxmlformats.org/officeDocument/2006/custom-properties" xmlns:vt="http://schemas.openxmlformats.org/officeDocument/2006/docPropsVTypes"/>
</file>