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jc w:val="left"/>
      </w:pPr>
      <w:r>
        <w:rPr>
          <w:rFonts w:ascii="Times New Roman" w:hAnsi="Times New Roman"/>
          <w:b/>
          <w:color w:val="000000"/>
          <w:sz w:val="28"/>
        </w:rPr>
        <w:t>1. INTRODUCTION</w:t>
      </w:r>
    </w:p>
    <w:p>
      <w:pPr>
        <w:spacing w:before="0" w:after="80" w:line="276" w:lineRule="auto"/>
        <w:jc w:val="both"/>
      </w:pPr>
      <w:r>
        <w:rPr>
          <w:rFonts w:ascii="Times New Roman" w:hAnsi="Times New Roman"/>
          <w:sz w:val="24"/>
        </w:rPr>
        <w:t>Higher education institutions manage a diverse array of high-value academic resources, including specialized engineering textbooks, graphing calculators, microcontroller laboratory kits, high-performance computing equipment, audiovisual tools, and collaborative study spaces. In conventional campus environments, the administration of these assets is fragmented across isolated departmental silos, central libraries, and individual faculty laboratories. This operational disconnection results in severe resource underutilization, artificial shortages, redundant institutional procurement, and high out-of-pocket expenses for students requiring specialized equipment for short-term coursework. Furthermore, traditional management approaches rely on paper registers or disconnected spreadsheets that provide zero visibility into unmet student demand, making strategic inventory planning impossible. At the same time, substantial student-owned inventory remains idle in dormitories and private residences, lacking a secure, policy-governed institutional framework for peer-to-peer academic lending.</w:t>
      </w:r>
    </w:p>
    <w:p>
      <w:pPr>
        <w:spacing w:before="0" w:after="80" w:line="276" w:lineRule="auto"/>
        <w:jc w:val="both"/>
      </w:pPr>
      <w:r>
        <w:rPr>
          <w:rFonts w:ascii="Times New Roman" w:hAnsi="Times New Roman"/>
          <w:sz w:val="24"/>
        </w:rPr>
        <w:t>The Campus Resource Intelligence and Sharing System (CRISS) is an enterprise full-stack web application designed to solve these systemic deficiencies. CRISS establishes a centralized academic sharing economy by bridging institutional inventory management with a structured student-to-student resource-sharing network. Built upon a 3NF-normalized MySQL 8 relational database and a modular Python Flask backend, the system enforces rigorous transactional integrity, role-based access control, and automated conflict-free reservation scheduling. A multi-attribute recommendation engine suggests functionally equivalent assets when requested items are unavailable, while integrated maintenance tracking ensures comprehensive asset longevity. Serving students, faculty, and administrative staff through specialized role-tailored dashboards, CRISS streamlines institutional workflows and fosters peer collaboration across academic departments.</w:t>
      </w:r>
    </w:p>
    <w:p>
      <w:pPr>
        <w:spacing w:before="0" w:after="80" w:line="276" w:lineRule="auto"/>
        <w:jc w:val="both"/>
      </w:pPr>
      <w:r>
        <w:rPr>
          <w:rFonts w:ascii="Times New Roman" w:hAnsi="Times New Roman"/>
          <w:sz w:val="24"/>
        </w:rPr>
        <w:t>Crucially, CRISS incorporates an objective Demand-Aware Resource Allocation Engine. Rather than relying on subjective procurement requests, the platform programmatically captures unfulfilled resource searches and unmet demand records. By synthesizing unmet demand rates, asset utilization percentages, request frequencies, and alternative availability into an explainable Multi-Criteria Decision Analysis priority score, CRISS provides administrators with transparent, evidence-based procurement recommendations. The resulting platform eliminates administrative overhead, democratizes access to academic technology, optimizes capital expenditure, and transforms campus asset management into an intelligent, equitable, and data-driven operational ecosystem.</w:t>
      </w:r>
    </w:p>
    <w:p>
      <w:pPr>
        <w:keepNext/>
        <w:pageBreakBefore/>
        <w:spacing w:before="320" w:after="160"/>
        <w:jc w:val="left"/>
      </w:pPr>
      <w:r>
        <w:rPr>
          <w:rFonts w:ascii="Times New Roman" w:hAnsi="Times New Roman"/>
          <w:b/>
          <w:color w:val="000000"/>
          <w:sz w:val="28"/>
        </w:rPr>
        <w:t>2. SOFTWARE REQUIREMENTS SPECIFICATION</w:t>
      </w:r>
    </w:p>
    <w:p>
      <w:pPr>
        <w:keepNext/>
        <w:spacing w:before="220" w:after="80"/>
        <w:jc w:val="left"/>
      </w:pPr>
      <w:r>
        <w:rPr>
          <w:rFonts w:ascii="Times New Roman" w:hAnsi="Times New Roman"/>
          <w:b/>
          <w:color w:val="17365D"/>
          <w:sz w:val="24"/>
        </w:rPr>
        <w:t>2.1 Scope and Objectives of CRISS</w:t>
      </w:r>
    </w:p>
    <w:p>
      <w:pPr>
        <w:spacing w:before="0" w:after="80" w:line="276" w:lineRule="auto"/>
        <w:jc w:val="both"/>
      </w:pPr>
      <w:r>
        <w:rPr>
          <w:rFonts w:ascii="Times New Roman" w:hAnsi="Times New Roman"/>
          <w:sz w:val="24"/>
        </w:rPr>
        <w:t>The primary scope of the Campus Resource Intelligence &amp; Sharing System (CRISS) is to engineer a robust, fault-tolerant campus resource management platform. CRISS integrates institutional assets with peer-to-peer student inventory into a unified academic sharing repository. The technical objectives encompass:</w:t>
      </w:r>
    </w:p>
    <w:p>
      <w:pPr>
        <w:pStyle w:val="ListBullet"/>
        <w:spacing w:before="0" w:after="60" w:line="276" w:lineRule="auto"/>
        <w:jc w:val="both"/>
      </w:pPr>
      <w:r>
        <w:rPr>
          <w:rFonts w:ascii="Times New Roman" w:hAnsi="Times New Roman"/>
          <w:b/>
          <w:sz w:val="23"/>
        </w:rPr>
        <w:t xml:space="preserve">1. Unified Cataloging: </w:t>
      </w:r>
      <w:r>
        <w:rPr>
          <w:rFonts w:ascii="Times New Roman" w:hAnsi="Times New Roman"/>
          <w:sz w:val="23"/>
        </w:rPr>
        <w:t>Centralizing college-owned resources and student peer-lended assets into a single searchable relational catalog.</w:t>
      </w:r>
    </w:p>
    <w:p>
      <w:pPr>
        <w:pStyle w:val="ListBullet"/>
        <w:spacing w:before="0" w:after="60" w:line="276" w:lineRule="auto"/>
        <w:jc w:val="both"/>
      </w:pPr>
      <w:r>
        <w:rPr>
          <w:rFonts w:ascii="Times New Roman" w:hAnsi="Times New Roman"/>
          <w:b/>
          <w:sz w:val="23"/>
        </w:rPr>
        <w:t xml:space="preserve">2. Concurrency Control: </w:t>
      </w:r>
      <w:r>
        <w:rPr>
          <w:rFonts w:ascii="Times New Roman" w:hAnsi="Times New Roman"/>
          <w:sz w:val="23"/>
        </w:rPr>
        <w:t>Enforcing zero-conflict reservations and transactional checkouts through ACID-compliant database locking.</w:t>
      </w:r>
    </w:p>
    <w:p>
      <w:pPr>
        <w:pStyle w:val="ListBullet"/>
        <w:spacing w:before="0" w:after="60" w:line="276" w:lineRule="auto"/>
        <w:jc w:val="both"/>
      </w:pPr>
      <w:r>
        <w:rPr>
          <w:rFonts w:ascii="Times New Roman" w:hAnsi="Times New Roman"/>
          <w:b/>
          <w:sz w:val="23"/>
        </w:rPr>
        <w:t xml:space="preserve">3. Student Peer Lending: </w:t>
      </w:r>
      <w:r>
        <w:rPr>
          <w:rFonts w:ascii="Times New Roman" w:hAnsi="Times New Roman"/>
          <w:sz w:val="23"/>
        </w:rPr>
        <w:t>Facilitating student-to-student resource sharing with strict privacy preservation (zero exposure of personal phone numbers or dorm addresses).</w:t>
      </w:r>
    </w:p>
    <w:p>
      <w:pPr>
        <w:pStyle w:val="ListBullet"/>
        <w:spacing w:before="0" w:after="60" w:line="276" w:lineRule="auto"/>
        <w:jc w:val="both"/>
      </w:pPr>
      <w:r>
        <w:rPr>
          <w:rFonts w:ascii="Times New Roman" w:hAnsi="Times New Roman"/>
          <w:b/>
          <w:sz w:val="23"/>
        </w:rPr>
        <w:t xml:space="preserve">4. Alternative Suggestions: </w:t>
      </w:r>
      <w:r>
        <w:rPr>
          <w:rFonts w:ascii="Times New Roman" w:hAnsi="Times New Roman"/>
          <w:sz w:val="23"/>
        </w:rPr>
        <w:t>Contextually recommending functionally equivalent alternatives based on department, category, and real-time availability.</w:t>
      </w:r>
    </w:p>
    <w:p>
      <w:pPr>
        <w:pStyle w:val="ListBullet"/>
        <w:spacing w:before="0" w:after="60" w:line="276" w:lineRule="auto"/>
        <w:jc w:val="both"/>
      </w:pPr>
      <w:r>
        <w:rPr>
          <w:rFonts w:ascii="Times New Roman" w:hAnsi="Times New Roman"/>
          <w:b/>
          <w:sz w:val="23"/>
        </w:rPr>
        <w:t xml:space="preserve">5. Demand-Aware Intelligence: </w:t>
      </w:r>
      <w:r>
        <w:rPr>
          <w:rFonts w:ascii="Times New Roman" w:hAnsi="Times New Roman"/>
          <w:sz w:val="23"/>
        </w:rPr>
        <w:t>Programmatically computing Unmet Demand Rates (UDR) and Multi-Criteria Decision Analysis (MCDA) allocation review scores for administrative procurement planning.</w:t>
      </w:r>
    </w:p>
    <w:p>
      <w:pPr>
        <w:pStyle w:val="ListBullet"/>
        <w:spacing w:before="0" w:after="60" w:line="276" w:lineRule="auto"/>
        <w:jc w:val="both"/>
      </w:pPr>
      <w:r>
        <w:rPr>
          <w:rFonts w:ascii="Times New Roman" w:hAnsi="Times New Roman"/>
          <w:b/>
          <w:sz w:val="23"/>
        </w:rPr>
        <w:t xml:space="preserve">6. Maintenance Management: </w:t>
      </w:r>
      <w:r>
        <w:rPr>
          <w:rFonts w:ascii="Times New Roman" w:hAnsi="Times New Roman"/>
          <w:sz w:val="23"/>
        </w:rPr>
        <w:t>Tracking damaged equipment through a comprehensive maintenance lifecycle with automatic copy quarantining.</w:t>
      </w:r>
    </w:p>
    <w:p>
      <w:pPr>
        <w:keepNext/>
        <w:spacing w:before="220" w:after="80"/>
        <w:jc w:val="left"/>
      </w:pPr>
      <w:r>
        <w:rPr>
          <w:rFonts w:ascii="Times New Roman" w:hAnsi="Times New Roman"/>
          <w:b/>
          <w:color w:val="17365D"/>
          <w:sz w:val="24"/>
        </w:rPr>
        <w:t>2.2 Functional Requirements</w:t>
      </w:r>
    </w:p>
    <w:p>
      <w:pPr>
        <w:spacing w:before="0" w:after="80" w:line="276" w:lineRule="auto"/>
        <w:jc w:val="both"/>
      </w:pPr>
      <w:r>
        <w:rPr>
          <w:rFonts w:ascii="Times New Roman" w:hAnsi="Times New Roman"/>
          <w:sz w:val="24"/>
        </w:rPr>
        <w:t>The system architecture fulfills twelve primary functional requirements (FR-01 through FR-12):</w:t>
      </w:r>
    </w:p>
    <w:tbl>
      <w:tblPr>
        <w:tblW w:type="auto" w:w="0"/>
        <w:jc w:val="center"/>
        <w:tblLayout w:type="fixed"/>
        <w:tblLook w:firstColumn="1" w:firstRow="1" w:lastColumn="0" w:lastRow="0" w:noHBand="0" w:noVBand="1" w:val="04A0"/>
      </w:tblPr>
      <w:tblGrid>
        <w:gridCol w:w="1296"/>
        <w:gridCol w:w="3024"/>
        <w:gridCol w:w="5472"/>
      </w:tblGrid>
      <w:tr>
        <w:tc>
          <w:tcPr>
            <w:tcW w:type="dxa" w:w="3360"/>
            <w:tcMar>
              <w:top w:w="100" w:type="dxa"/>
              <w:bottom w:w="100" w:type="dxa"/>
              <w:left w:w="120" w:type="dxa"/>
              <w:right w:w="120" w:type="dxa"/>
            </w:tcMar>
            <w:shd w:val="clear" w:color="auto" w:fill="17365D"/>
            <w:tcBorders>
              <w:top w:val="single" w:sz="6" w:space="0" w:color="17365D"/>
              <w:bottom w:val="single" w:sz="6" w:space="0" w:color="17365D"/>
              <w:left w:val="none" w:sz="6" w:space="0" w:color="17365D"/>
              <w:right w:val="none" w:sz="6" w:space="0" w:color="17365D"/>
            </w:tcBorders>
          </w:tcPr>
          <w:p>
            <w:r>
              <w:rPr>
                <w:rFonts w:ascii="Times New Roman" w:hAnsi="Times New Roman"/>
                <w:b/>
                <w:color w:val="FFFFFF"/>
                <w:sz w:val="21"/>
              </w:rPr>
              <w:t>Requirement ID</w:t>
            </w:r>
          </w:p>
        </w:tc>
        <w:tc>
          <w:tcPr>
            <w:tcW w:type="dxa" w:w="3360"/>
            <w:tcMar>
              <w:top w:w="100" w:type="dxa"/>
              <w:bottom w:w="100" w:type="dxa"/>
              <w:left w:w="120" w:type="dxa"/>
              <w:right w:w="120" w:type="dxa"/>
            </w:tcMar>
            <w:shd w:val="clear" w:color="auto" w:fill="17365D"/>
            <w:tcBorders>
              <w:top w:val="single" w:sz="6" w:space="0" w:color="17365D"/>
              <w:bottom w:val="single" w:sz="6" w:space="0" w:color="17365D"/>
              <w:left w:val="none" w:sz="6" w:space="0" w:color="17365D"/>
              <w:right w:val="none" w:sz="6" w:space="0" w:color="17365D"/>
            </w:tcBorders>
          </w:tcPr>
          <w:p>
            <w:r>
              <w:rPr>
                <w:rFonts w:ascii="Times New Roman" w:hAnsi="Times New Roman"/>
                <w:b/>
                <w:color w:val="FFFFFF"/>
                <w:sz w:val="21"/>
              </w:rPr>
              <w:t>Functional Module</w:t>
            </w:r>
          </w:p>
        </w:tc>
        <w:tc>
          <w:tcPr>
            <w:tcW w:type="dxa" w:w="3360"/>
            <w:tcMar>
              <w:top w:w="100" w:type="dxa"/>
              <w:bottom w:w="100" w:type="dxa"/>
              <w:left w:w="120" w:type="dxa"/>
              <w:right w:w="120" w:type="dxa"/>
            </w:tcMar>
            <w:shd w:val="clear" w:color="auto" w:fill="17365D"/>
            <w:tcBorders>
              <w:top w:val="single" w:sz="6" w:space="0" w:color="17365D"/>
              <w:bottom w:val="single" w:sz="6" w:space="0" w:color="17365D"/>
              <w:left w:val="none" w:sz="6" w:space="0" w:color="17365D"/>
              <w:right w:val="none" w:sz="6" w:space="0" w:color="17365D"/>
            </w:tcBorders>
          </w:tcPr>
          <w:p>
            <w:r>
              <w:rPr>
                <w:rFonts w:ascii="Times New Roman" w:hAnsi="Times New Roman"/>
                <w:b/>
                <w:color w:val="FFFFFF"/>
                <w:sz w:val="21"/>
              </w:rPr>
              <w:t>Detailed Requirement Specification</w:t>
            </w:r>
          </w:p>
        </w:tc>
      </w:tr>
      <w:tr>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20"/>
              </w:rPr>
              <w:t>FR-01</w:t>
            </w:r>
          </w:p>
        </w:tc>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Authentication &amp; RBAC</w:t>
            </w:r>
          </w:p>
        </w:tc>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The system shall securely register and authenticate Students, Faculty, and Administrators using PBKDF2-SHA256 password hashes, enforcing strict server-side role validation.</w:t>
            </w:r>
          </w:p>
        </w:tc>
      </w:tr>
      <w:tr>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20"/>
              </w:rPr>
              <w:t>FR-02</w:t>
            </w:r>
          </w:p>
        </w:tc>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Resource Catalog</w:t>
            </w:r>
          </w:p>
        </w:tc>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The system shall catalog college assets across categories (Textbooks, Lab Kits, Calculators, Electronics, Study Rooms) with specifications, location, and department mapping.</w:t>
            </w:r>
          </w:p>
        </w:tc>
      </w:tr>
      <w:tr>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20"/>
              </w:rPr>
              <w:t>FR-03</w:t>
            </w:r>
          </w:p>
        </w:tc>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Search &amp; Filtering</w:t>
            </w:r>
          </w:p>
        </w:tc>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The system shall support multi-parametric querying across category, department, availability, location, and keywords with sub-100ms response times.</w:t>
            </w:r>
          </w:p>
        </w:tc>
      </w:tr>
      <w:tr>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20"/>
              </w:rPr>
              <w:t>FR-04</w:t>
            </w:r>
          </w:p>
        </w:tc>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Student Peer Lending</w:t>
            </w:r>
          </w:p>
        </w:tc>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The system shall allow verified students to create, edit, pause, and delete peer resource listings with custom lending conditions while safeguarding private student contact details.</w:t>
            </w:r>
          </w:p>
        </w:tc>
      </w:tr>
      <w:tr>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20"/>
              </w:rPr>
              <w:t>FR-05</w:t>
            </w:r>
          </w:p>
        </w:tc>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Reservation Engine</w:t>
            </w:r>
          </w:p>
        </w:tc>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The system shall execute ACID transactions with row-level locking (SELECT ... FOR UPDATE) to prevent overlapping reservations and schedule conflicts.</w:t>
            </w:r>
          </w:p>
        </w:tc>
      </w:tr>
      <w:tr>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20"/>
              </w:rPr>
              <w:t>FR-06</w:t>
            </w:r>
          </w:p>
        </w:tc>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Circulation &amp; Loans</w:t>
            </w:r>
          </w:p>
        </w:tc>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The system shall process physical checkouts, calculate due dates, record returns, flag overdue items, and maintain historical usage logs.</w:t>
            </w:r>
          </w:p>
        </w:tc>
      </w:tr>
      <w:tr>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20"/>
              </w:rPr>
              <w:t>FR-07</w:t>
            </w:r>
          </w:p>
        </w:tc>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Alternative Recommendations</w:t>
            </w:r>
          </w:p>
        </w:tc>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When a requested asset is unavailable, the system shall execute multi-attribute SQL ranking to recommend active alternatives matching category, department, and specifications.</w:t>
            </w:r>
          </w:p>
        </w:tc>
      </w:tr>
      <w:tr>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20"/>
              </w:rPr>
              <w:t>FR-08</w:t>
            </w:r>
          </w:p>
        </w:tc>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Unfulfilled Demand Capture</w:t>
            </w:r>
          </w:p>
        </w:tc>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The system shall record unfulfilled resource requests when items are out-of-stock and dispatch automated notifications when matching inventory becomes available.</w:t>
            </w:r>
          </w:p>
        </w:tc>
      </w:tr>
      <w:tr>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20"/>
              </w:rPr>
              <w:t>FR-09</w:t>
            </w:r>
          </w:p>
        </w:tc>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Asset Maintenance</w:t>
            </w:r>
          </w:p>
        </w:tc>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The system shall enable administrators to quarantine damaged copies, record diagnostic notes, track repair costs, and transition copies back to 'AVAILABLE'.</w:t>
            </w:r>
          </w:p>
        </w:tc>
      </w:tr>
      <w:tr>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20"/>
              </w:rPr>
              <w:t>FR-10</w:t>
            </w:r>
          </w:p>
        </w:tc>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Demand-Aware Engine</w:t>
            </w:r>
          </w:p>
        </w:tc>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The system shall calculate Unmet Demand Rates (UDR) and compute deterministic MCDA review priority scores to guide administrative procurement.</w:t>
            </w:r>
          </w:p>
        </w:tc>
      </w:tr>
      <w:tr>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20"/>
              </w:rPr>
              <w:t>FR-11</w:t>
            </w:r>
          </w:p>
        </w:tc>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Analytical Reporting</w:t>
            </w:r>
          </w:p>
        </w:tc>
        <w:tc>
          <w:tcPr>
            <w:tcW w:type="dxa" w:w="3360"/>
            <w:tcMar>
              <w:top w:w="80" w:type="dxa"/>
              <w:bottom w:w="8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The system shall generate aggregation reports using GROUP BY, HAVING, and window joins, supporting dynamic date filtering and one-click tabular CSV export.</w:t>
            </w:r>
          </w:p>
        </w:tc>
      </w:tr>
      <w:tr>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20"/>
              </w:rPr>
              <w:t>FR-12</w:t>
            </w:r>
          </w:p>
        </w:tc>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In-App Notifications</w:t>
            </w:r>
          </w:p>
        </w:tc>
        <w:tc>
          <w:tcPr>
            <w:tcW w:type="dxa" w:w="3360"/>
            <w:tcMar>
              <w:top w:w="80" w:type="dxa"/>
              <w:bottom w:w="8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20"/>
              </w:rPr>
              <w:t>The system shall generate real-time in-app alerts for reservation confirmations, upcoming return due dates, overdue notices, and demand request fulfillment.</w:t>
            </w:r>
          </w:p>
        </w:tc>
      </w:tr>
    </w:tbl>
    <w:p>
      <w:pPr>
        <w:keepNext/>
        <w:spacing w:before="220" w:after="80"/>
        <w:jc w:val="left"/>
      </w:pPr>
      <w:r>
        <w:rPr>
          <w:rFonts w:ascii="Times New Roman" w:hAnsi="Times New Roman"/>
          <w:b/>
          <w:color w:val="17365D"/>
          <w:sz w:val="24"/>
        </w:rPr>
        <w:t>2.3 Non-Functional Requirements</w:t>
      </w:r>
    </w:p>
    <w:p>
      <w:pPr>
        <w:pStyle w:val="ListBullet"/>
        <w:spacing w:before="0" w:after="60" w:line="276" w:lineRule="auto"/>
        <w:jc w:val="both"/>
      </w:pPr>
      <w:r>
        <w:rPr>
          <w:rFonts w:ascii="Times New Roman" w:hAnsi="Times New Roman"/>
          <w:b/>
          <w:sz w:val="23"/>
        </w:rPr>
        <w:t xml:space="preserve">NFR-01: Performance &amp; Latency: </w:t>
      </w:r>
      <w:r>
        <w:rPr>
          <w:rFonts w:ascii="Times New Roman" w:hAnsi="Times New Roman"/>
          <w:sz w:val="23"/>
        </w:rPr>
        <w:t>Indexed queries on catalog, reservations, and inventory shall execute in under 100 milliseconds under a concurrent load of 100 active sessions.</w:t>
      </w:r>
    </w:p>
    <w:p>
      <w:pPr>
        <w:pStyle w:val="ListBullet"/>
        <w:spacing w:before="0" w:after="60" w:line="276" w:lineRule="auto"/>
        <w:jc w:val="both"/>
      </w:pPr>
      <w:r>
        <w:rPr>
          <w:rFonts w:ascii="Times New Roman" w:hAnsi="Times New Roman"/>
          <w:b/>
          <w:sz w:val="23"/>
        </w:rPr>
        <w:t xml:space="preserve">NFR-02: Concurrency &amp; Transaction Isolation: </w:t>
      </w:r>
      <w:r>
        <w:rPr>
          <w:rFonts w:ascii="Times New Roman" w:hAnsi="Times New Roman"/>
          <w:sz w:val="23"/>
        </w:rPr>
        <w:t>Database transactions shall adhere strictly to ACID guarantees utilizing InnoDB's REPEATABLE READ isolation level and pessimistic row-level locking.</w:t>
      </w:r>
    </w:p>
    <w:p>
      <w:pPr>
        <w:pStyle w:val="ListBullet"/>
        <w:spacing w:before="0" w:after="60" w:line="276" w:lineRule="auto"/>
        <w:jc w:val="both"/>
      </w:pPr>
      <w:r>
        <w:rPr>
          <w:rFonts w:ascii="Times New Roman" w:hAnsi="Times New Roman"/>
          <w:b/>
          <w:sz w:val="23"/>
        </w:rPr>
        <w:t xml:space="preserve">NFR-03: Security &amp; Privacy: </w:t>
      </w:r>
      <w:r>
        <w:rPr>
          <w:rFonts w:ascii="Times New Roman" w:hAnsi="Times New Roman"/>
          <w:sz w:val="23"/>
        </w:rPr>
        <w:t>All passwords shall be salted and hashed using Werkzeug PBKDF2-SHA256. Parameterized SQL queries shall prevent SQL injection vulnerabilities. CSRF protection shall secure all POST operations.</w:t>
      </w:r>
    </w:p>
    <w:p>
      <w:pPr>
        <w:pStyle w:val="ListBullet"/>
        <w:spacing w:before="0" w:after="60" w:line="276" w:lineRule="auto"/>
        <w:jc w:val="both"/>
      </w:pPr>
      <w:r>
        <w:rPr>
          <w:rFonts w:ascii="Times New Roman" w:hAnsi="Times New Roman"/>
          <w:b/>
          <w:sz w:val="23"/>
        </w:rPr>
        <w:t xml:space="preserve">NFR-04: Reliability &amp; Data Integrity: </w:t>
      </w:r>
      <w:r>
        <w:rPr>
          <w:rFonts w:ascii="Times New Roman" w:hAnsi="Times New Roman"/>
          <w:sz w:val="23"/>
        </w:rPr>
        <w:t>Relational constraints, foreign keys with ON DELETE RESTRICT, and check constraints shall guarantee that orphan records and invalid status transitions are mathematically impossible.</w:t>
      </w:r>
    </w:p>
    <w:p>
      <w:pPr>
        <w:pStyle w:val="ListBullet"/>
        <w:spacing w:before="0" w:after="60" w:line="276" w:lineRule="auto"/>
        <w:jc w:val="both"/>
      </w:pPr>
      <w:r>
        <w:rPr>
          <w:rFonts w:ascii="Times New Roman" w:hAnsi="Times New Roman"/>
          <w:b/>
          <w:sz w:val="23"/>
        </w:rPr>
        <w:t xml:space="preserve">NFR-05: Usability &amp; Accessibility: </w:t>
      </w:r>
      <w:r>
        <w:rPr>
          <w:rFonts w:ascii="Times New Roman" w:hAnsi="Times New Roman"/>
          <w:sz w:val="23"/>
        </w:rPr>
        <w:t>The interface shall adhere to WCAG 2.1 AA accessibility guidelines, offering responsive Bootstrap 5 styling, clear status indicators, and keyboard-navigable forms.</w:t>
      </w:r>
    </w:p>
    <w:p>
      <w:pPr>
        <w:pStyle w:val="ListBullet"/>
        <w:spacing w:before="0" w:after="60" w:line="276" w:lineRule="auto"/>
        <w:jc w:val="both"/>
      </w:pPr>
      <w:r>
        <w:rPr>
          <w:rFonts w:ascii="Times New Roman" w:hAnsi="Times New Roman"/>
          <w:b/>
          <w:sz w:val="23"/>
        </w:rPr>
        <w:t xml:space="preserve">NFR-06: Portability &amp; Maintainability: </w:t>
      </w:r>
      <w:r>
        <w:rPr>
          <w:rFonts w:ascii="Times New Roman" w:hAnsi="Times New Roman"/>
          <w:sz w:val="23"/>
        </w:rPr>
        <w:t>The application architecture shall remain fully modular, separating concerns across Blueprints, domain services, connection pooling, and standard SQL DDL.</w:t>
      </w:r>
    </w:p>
    <w:p>
      <w:pPr>
        <w:keepNext/>
        <w:spacing w:before="220" w:after="80"/>
        <w:jc w:val="left"/>
      </w:pPr>
      <w:r>
        <w:rPr>
          <w:rFonts w:ascii="Times New Roman" w:hAnsi="Times New Roman"/>
          <w:b/>
          <w:color w:val="17365D"/>
          <w:sz w:val="24"/>
        </w:rPr>
        <w:t>2.4 User Characteristics and Role-Based Access Control (RBAC)</w:t>
      </w:r>
    </w:p>
    <w:p>
      <w:pPr>
        <w:spacing w:before="0" w:after="80" w:line="276" w:lineRule="auto"/>
        <w:jc w:val="both"/>
      </w:pPr>
      <w:r>
        <w:rPr>
          <w:rFonts w:ascii="Times New Roman" w:hAnsi="Times New Roman"/>
          <w:sz w:val="24"/>
        </w:rPr>
        <w:t>CRISS enforces a strict Role-Based Access Control matrix across three distinct institutional actors: Students, Faculty members, and System Administrators. Table 2.2 delineates functional boundaries:</w:t>
      </w:r>
    </w:p>
    <w:tbl>
      <w:tblPr>
        <w:tblW w:type="auto" w:w="0"/>
        <w:jc w:val="center"/>
        <w:tblLayout w:type="fixed"/>
        <w:tblLook w:firstColumn="1" w:firstRow="1" w:lastColumn="0" w:lastRow="0" w:noHBand="0" w:noVBand="1" w:val="04A0"/>
      </w:tblPr>
      <w:tblGrid>
        <w:gridCol w:w="3744"/>
        <w:gridCol w:w="2016"/>
        <w:gridCol w:w="2016"/>
        <w:gridCol w:w="2016"/>
      </w:tblGrid>
      <w:tr>
        <w:tc>
          <w:tcPr>
            <w:tcW w:type="dxa" w:w="2520"/>
            <w:tcMar>
              <w:top w:w="90" w:type="dxa"/>
              <w:bottom w:w="90" w:type="dxa"/>
              <w:left w:w="100" w:type="dxa"/>
              <w:right w:w="100" w:type="dxa"/>
            </w:tcMar>
            <w:shd w:val="clear" w:color="auto" w:fill="17365D"/>
            <w:tcBorders>
              <w:top w:val="single" w:sz="6" w:space="0" w:color="17365D"/>
              <w:bottom w:val="single" w:sz="6" w:space="0" w:color="17365D"/>
              <w:left w:val="none" w:sz="6" w:space="0" w:color="17365D"/>
              <w:right w:val="none" w:sz="6" w:space="0" w:color="17365D"/>
            </w:tcBorders>
          </w:tcPr>
          <w:p>
            <w:pPr>
              <w:jc w:val="left"/>
            </w:pPr>
            <w:r>
              <w:rPr>
                <w:rFonts w:ascii="Times New Roman" w:hAnsi="Times New Roman"/>
                <w:b/>
                <w:color w:val="FFFFFF"/>
                <w:sz w:val="20"/>
              </w:rPr>
              <w:t>Functional Operation</w:t>
            </w:r>
          </w:p>
        </w:tc>
        <w:tc>
          <w:tcPr>
            <w:tcW w:type="dxa" w:w="2520"/>
            <w:tcMar>
              <w:top w:w="90" w:type="dxa"/>
              <w:bottom w:w="90" w:type="dxa"/>
              <w:left w:w="100" w:type="dxa"/>
              <w:right w:w="100" w:type="dxa"/>
            </w:tcMar>
            <w:shd w:val="clear" w:color="auto" w:fill="17365D"/>
            <w:tcBorders>
              <w:top w:val="single" w:sz="6" w:space="0" w:color="17365D"/>
              <w:bottom w:val="single" w:sz="6" w:space="0" w:color="17365D"/>
              <w:left w:val="none" w:sz="6" w:space="0" w:color="17365D"/>
              <w:right w:val="none" w:sz="6" w:space="0" w:color="17365D"/>
            </w:tcBorders>
          </w:tcPr>
          <w:p>
            <w:pPr>
              <w:jc w:val="center"/>
            </w:pPr>
            <w:r>
              <w:rPr>
                <w:rFonts w:ascii="Times New Roman" w:hAnsi="Times New Roman"/>
                <w:b/>
                <w:color w:val="FFFFFF"/>
                <w:sz w:val="20"/>
              </w:rPr>
              <w:t>Student</w:t>
            </w:r>
          </w:p>
        </w:tc>
        <w:tc>
          <w:tcPr>
            <w:tcW w:type="dxa" w:w="2520"/>
            <w:tcMar>
              <w:top w:w="90" w:type="dxa"/>
              <w:bottom w:w="90" w:type="dxa"/>
              <w:left w:w="100" w:type="dxa"/>
              <w:right w:w="100" w:type="dxa"/>
            </w:tcMar>
            <w:shd w:val="clear" w:color="auto" w:fill="17365D"/>
            <w:tcBorders>
              <w:top w:val="single" w:sz="6" w:space="0" w:color="17365D"/>
              <w:bottom w:val="single" w:sz="6" w:space="0" w:color="17365D"/>
              <w:left w:val="none" w:sz="6" w:space="0" w:color="17365D"/>
              <w:right w:val="none" w:sz="6" w:space="0" w:color="17365D"/>
            </w:tcBorders>
          </w:tcPr>
          <w:p>
            <w:pPr>
              <w:jc w:val="center"/>
            </w:pPr>
            <w:r>
              <w:rPr>
                <w:rFonts w:ascii="Times New Roman" w:hAnsi="Times New Roman"/>
                <w:b/>
                <w:color w:val="FFFFFF"/>
                <w:sz w:val="20"/>
              </w:rPr>
              <w:t>Faculty</w:t>
            </w:r>
          </w:p>
        </w:tc>
        <w:tc>
          <w:tcPr>
            <w:tcW w:type="dxa" w:w="2520"/>
            <w:tcMar>
              <w:top w:w="90" w:type="dxa"/>
              <w:bottom w:w="90" w:type="dxa"/>
              <w:left w:w="100" w:type="dxa"/>
              <w:right w:w="100" w:type="dxa"/>
            </w:tcMar>
            <w:shd w:val="clear" w:color="auto" w:fill="17365D"/>
            <w:tcBorders>
              <w:top w:val="single" w:sz="6" w:space="0" w:color="17365D"/>
              <w:bottom w:val="single" w:sz="6" w:space="0" w:color="17365D"/>
              <w:left w:val="none" w:sz="6" w:space="0" w:color="17365D"/>
              <w:right w:val="none" w:sz="6" w:space="0" w:color="17365D"/>
            </w:tcBorders>
          </w:tcPr>
          <w:p>
            <w:pPr>
              <w:jc w:val="center"/>
            </w:pPr>
            <w:r>
              <w:rPr>
                <w:rFonts w:ascii="Times New Roman" w:hAnsi="Times New Roman"/>
                <w:b/>
                <w:color w:val="FFFFFF"/>
                <w:sz w:val="20"/>
              </w:rPr>
              <w:t>Administrator</w:t>
            </w:r>
          </w:p>
        </w:tc>
      </w:tr>
      <w:tr>
        <w:tc>
          <w:tcPr>
            <w:tcW w:type="dxa" w:w="2520"/>
            <w:tcMar>
              <w:top w:w="70" w:type="dxa"/>
              <w:bottom w:w="7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9"/>
              </w:rPr>
              <w:t>Search Catalog &amp; View Alternative Recommendations</w:t>
            </w:r>
          </w:p>
        </w:tc>
        <w:tc>
          <w:tcPr>
            <w:tcW w:type="dxa" w:w="2520"/>
            <w:tcMar>
              <w:top w:w="70" w:type="dxa"/>
              <w:bottom w:w="7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9"/>
              </w:rPr>
              <w:t>Permitted</w:t>
            </w:r>
          </w:p>
        </w:tc>
        <w:tc>
          <w:tcPr>
            <w:tcW w:type="dxa" w:w="2520"/>
            <w:tcMar>
              <w:top w:w="70" w:type="dxa"/>
              <w:bottom w:w="7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9"/>
              </w:rPr>
              <w:t>Permitted</w:t>
            </w:r>
          </w:p>
        </w:tc>
        <w:tc>
          <w:tcPr>
            <w:tcW w:type="dxa" w:w="2520"/>
            <w:tcMar>
              <w:top w:w="70" w:type="dxa"/>
              <w:bottom w:w="7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9"/>
              </w:rPr>
              <w:t>Permitted</w:t>
            </w:r>
          </w:p>
        </w:tc>
      </w:tr>
      <w:tr>
        <w:tc>
          <w:tcPr>
            <w:tcW w:type="dxa" w:w="2520"/>
            <w:tcMar>
              <w:top w:w="70" w:type="dxa"/>
              <w:bottom w:w="7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9"/>
              </w:rPr>
              <w:t>Create &amp; Cancel Personal Reservations</w:t>
            </w:r>
          </w:p>
        </w:tc>
        <w:tc>
          <w:tcPr>
            <w:tcW w:type="dxa" w:w="2520"/>
            <w:tcMar>
              <w:top w:w="70" w:type="dxa"/>
              <w:bottom w:w="7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9"/>
              </w:rPr>
              <w:t>Permitted</w:t>
            </w:r>
          </w:p>
        </w:tc>
        <w:tc>
          <w:tcPr>
            <w:tcW w:type="dxa" w:w="2520"/>
            <w:tcMar>
              <w:top w:w="70" w:type="dxa"/>
              <w:bottom w:w="7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9"/>
              </w:rPr>
              <w:t>Permitted</w:t>
            </w:r>
          </w:p>
        </w:tc>
        <w:tc>
          <w:tcPr>
            <w:tcW w:type="dxa" w:w="2520"/>
            <w:tcMar>
              <w:top w:w="70" w:type="dxa"/>
              <w:bottom w:w="7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17365D"/>
                <w:sz w:val="19"/>
              </w:rPr>
              <w:t>Full Override</w:t>
            </w:r>
          </w:p>
        </w:tc>
      </w:tr>
      <w:tr>
        <w:tc>
          <w:tcPr>
            <w:tcW w:type="dxa" w:w="2520"/>
            <w:tcMar>
              <w:top w:w="70" w:type="dxa"/>
              <w:bottom w:w="7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b/>
                <w:color w:val="17365D"/>
                <w:sz w:val="19"/>
              </w:rPr>
              <w:t>List &amp; Manage Student Peer Resources</w:t>
            </w:r>
          </w:p>
        </w:tc>
        <w:tc>
          <w:tcPr>
            <w:tcW w:type="dxa" w:w="2520"/>
            <w:tcMar>
              <w:top w:w="70" w:type="dxa"/>
              <w:bottom w:w="7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9"/>
              </w:rPr>
              <w:t>Permitted</w:t>
            </w:r>
          </w:p>
        </w:tc>
        <w:tc>
          <w:tcPr>
            <w:tcW w:type="dxa" w:w="2520"/>
            <w:tcMar>
              <w:top w:w="70" w:type="dxa"/>
              <w:bottom w:w="7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color w:val="DC2626"/>
                <w:sz w:val="19"/>
              </w:rPr>
              <w:t>Restricted</w:t>
            </w:r>
          </w:p>
        </w:tc>
        <w:tc>
          <w:tcPr>
            <w:tcW w:type="dxa" w:w="2520"/>
            <w:tcMar>
              <w:top w:w="70" w:type="dxa"/>
              <w:bottom w:w="7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17365D"/>
                <w:sz w:val="19"/>
              </w:rPr>
              <w:t>Full Audit</w:t>
            </w:r>
          </w:p>
        </w:tc>
      </w:tr>
      <w:tr>
        <w:tc>
          <w:tcPr>
            <w:tcW w:type="dxa" w:w="2520"/>
            <w:tcMar>
              <w:top w:w="70" w:type="dxa"/>
              <w:bottom w:w="7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9"/>
              </w:rPr>
              <w:t>Submit Unfulfilled Resource Demand Requests</w:t>
            </w:r>
          </w:p>
        </w:tc>
        <w:tc>
          <w:tcPr>
            <w:tcW w:type="dxa" w:w="2520"/>
            <w:tcMar>
              <w:top w:w="70" w:type="dxa"/>
              <w:bottom w:w="7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9"/>
              </w:rPr>
              <w:t>Permitted</w:t>
            </w:r>
          </w:p>
        </w:tc>
        <w:tc>
          <w:tcPr>
            <w:tcW w:type="dxa" w:w="2520"/>
            <w:tcMar>
              <w:top w:w="70" w:type="dxa"/>
              <w:bottom w:w="7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9"/>
              </w:rPr>
              <w:t>Permitted</w:t>
            </w:r>
          </w:p>
        </w:tc>
        <w:tc>
          <w:tcPr>
            <w:tcW w:type="dxa" w:w="2520"/>
            <w:tcMar>
              <w:top w:w="70" w:type="dxa"/>
              <w:bottom w:w="7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17365D"/>
                <w:sz w:val="19"/>
              </w:rPr>
              <w:t>Manage &amp; Fulfill</w:t>
            </w:r>
          </w:p>
        </w:tc>
      </w:tr>
      <w:tr>
        <w:tc>
          <w:tcPr>
            <w:tcW w:type="dxa" w:w="2520"/>
            <w:tcMar>
              <w:top w:w="70" w:type="dxa"/>
              <w:bottom w:w="7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9"/>
              </w:rPr>
              <w:t>Physical Loan Dispatch &amp; Return Processing</w:t>
            </w:r>
          </w:p>
        </w:tc>
        <w:tc>
          <w:tcPr>
            <w:tcW w:type="dxa" w:w="2520"/>
            <w:tcMar>
              <w:top w:w="70" w:type="dxa"/>
              <w:bottom w:w="7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color w:val="DC2626"/>
                <w:sz w:val="19"/>
              </w:rPr>
              <w:t>Restricted</w:t>
            </w:r>
          </w:p>
        </w:tc>
        <w:tc>
          <w:tcPr>
            <w:tcW w:type="dxa" w:w="2520"/>
            <w:tcMar>
              <w:top w:w="70" w:type="dxa"/>
              <w:bottom w:w="7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color w:val="DC2626"/>
                <w:sz w:val="19"/>
              </w:rPr>
              <w:t>Restricted</w:t>
            </w:r>
          </w:p>
        </w:tc>
        <w:tc>
          <w:tcPr>
            <w:tcW w:type="dxa" w:w="2520"/>
            <w:tcMar>
              <w:top w:w="70" w:type="dxa"/>
              <w:bottom w:w="70" w:type="dxa"/>
              <w:left w:w="100" w:type="dxa"/>
              <w:right w:w="10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9"/>
              </w:rPr>
              <w:t>Permitted</w:t>
            </w:r>
          </w:p>
        </w:tc>
      </w:tr>
      <w:tr>
        <w:tc>
          <w:tcPr>
            <w:tcW w:type="dxa" w:w="2520"/>
            <w:tcMar>
              <w:top w:w="70" w:type="dxa"/>
              <w:bottom w:w="7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9"/>
              </w:rPr>
              <w:t>Inventory Mutation, Maintenance &amp; Demand Analytics</w:t>
            </w:r>
          </w:p>
        </w:tc>
        <w:tc>
          <w:tcPr>
            <w:tcW w:type="dxa" w:w="2520"/>
            <w:tcMar>
              <w:top w:w="70" w:type="dxa"/>
              <w:bottom w:w="7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color w:val="DC2626"/>
                <w:sz w:val="19"/>
              </w:rPr>
              <w:t>Restricted</w:t>
            </w:r>
          </w:p>
        </w:tc>
        <w:tc>
          <w:tcPr>
            <w:tcW w:type="dxa" w:w="2520"/>
            <w:tcMar>
              <w:top w:w="70" w:type="dxa"/>
              <w:bottom w:w="7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color w:val="DC2626"/>
                <w:sz w:val="19"/>
              </w:rPr>
              <w:t>Restricted</w:t>
            </w:r>
          </w:p>
        </w:tc>
        <w:tc>
          <w:tcPr>
            <w:tcW w:type="dxa" w:w="2520"/>
            <w:tcMar>
              <w:top w:w="70" w:type="dxa"/>
              <w:bottom w:w="70" w:type="dxa"/>
              <w:left w:w="100" w:type="dxa"/>
              <w:right w:w="10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9"/>
              </w:rPr>
              <w:t>Permitted</w:t>
            </w:r>
          </w:p>
        </w:tc>
      </w:tr>
    </w:tbl>
    <w:p>
      <w:pPr>
        <w:keepNext/>
        <w:spacing w:before="220" w:after="80"/>
        <w:jc w:val="left"/>
      </w:pPr>
      <w:r>
        <w:rPr>
          <w:rFonts w:ascii="Times New Roman" w:hAnsi="Times New Roman"/>
          <w:b/>
          <w:color w:val="17365D"/>
          <w:sz w:val="24"/>
        </w:rPr>
        <w:t>2.5 Hardware Requirements</w:t>
      </w:r>
    </w:p>
    <w:p>
      <w:pPr>
        <w:spacing w:before="0" w:after="80" w:line="276" w:lineRule="auto"/>
        <w:jc w:val="both"/>
      </w:pPr>
      <w:r>
        <w:rPr>
          <w:rFonts w:ascii="Times New Roman" w:hAnsi="Times New Roman"/>
          <w:sz w:val="24"/>
        </w:rPr>
        <w:t>CRISS has been architected for optimal resource efficiency across development, server, and client hardware:</w:t>
      </w:r>
    </w:p>
    <w:p>
      <w:pPr>
        <w:pStyle w:val="ListBullet"/>
        <w:spacing w:before="0" w:after="60" w:line="276" w:lineRule="auto"/>
        <w:jc w:val="both"/>
      </w:pPr>
      <w:r>
        <w:rPr>
          <w:rFonts w:ascii="Times New Roman" w:hAnsi="Times New Roman"/>
          <w:b/>
          <w:sz w:val="23"/>
        </w:rPr>
        <w:t xml:space="preserve">Development Environment: </w:t>
      </w:r>
      <w:r>
        <w:rPr>
          <w:rFonts w:ascii="Times New Roman" w:hAnsi="Times New Roman"/>
          <w:sz w:val="23"/>
        </w:rPr>
        <w:t>Workstation with x86_64 Quad-Core CPU (2.4 GHz+), 8 GB RAM, 20 GB free SSD storage.</w:t>
      </w:r>
    </w:p>
    <w:p>
      <w:pPr>
        <w:pStyle w:val="ListBullet"/>
        <w:spacing w:before="0" w:after="60" w:line="276" w:lineRule="auto"/>
        <w:jc w:val="both"/>
      </w:pPr>
      <w:r>
        <w:rPr>
          <w:rFonts w:ascii="Times New Roman" w:hAnsi="Times New Roman"/>
          <w:b/>
          <w:sz w:val="23"/>
        </w:rPr>
        <w:t xml:space="preserve">Production / Staging Server: </w:t>
      </w:r>
      <w:r>
        <w:rPr>
          <w:rFonts w:ascii="Times New Roman" w:hAnsi="Times New Roman"/>
          <w:sz w:val="23"/>
        </w:rPr>
        <w:t>Dedicated Host or Virtual Machine (2 vCPU, 4 GB RAM, 40 GB NVMe Storage) hosting MySQL 8.0 Daemon and WSGI Application Server.</w:t>
      </w:r>
    </w:p>
    <w:p>
      <w:pPr>
        <w:pStyle w:val="ListBullet"/>
        <w:spacing w:before="0" w:after="60" w:line="276" w:lineRule="auto"/>
        <w:jc w:val="both"/>
      </w:pPr>
      <w:r>
        <w:rPr>
          <w:rFonts w:ascii="Times New Roman" w:hAnsi="Times New Roman"/>
          <w:b/>
          <w:sz w:val="23"/>
        </w:rPr>
        <w:t xml:space="preserve">Client Endpoints: </w:t>
      </w:r>
      <w:r>
        <w:rPr>
          <w:rFonts w:ascii="Times New Roman" w:hAnsi="Times New Roman"/>
          <w:sz w:val="23"/>
        </w:rPr>
        <w:t>Standard modern workstation, laptop, or mobile tablet equipped with an HTML5/ECMAScript 6 compliant web browser and minimum 1024x768 display resolution.</w:t>
      </w:r>
    </w:p>
    <w:p>
      <w:pPr>
        <w:keepNext/>
        <w:spacing w:before="220" w:after="80"/>
        <w:jc w:val="left"/>
      </w:pPr>
      <w:r>
        <w:rPr>
          <w:rFonts w:ascii="Times New Roman" w:hAnsi="Times New Roman"/>
          <w:b/>
          <w:color w:val="17365D"/>
          <w:sz w:val="24"/>
        </w:rPr>
        <w:t>2.6 Software Requirements</w:t>
      </w:r>
    </w:p>
    <w:p>
      <w:pPr>
        <w:spacing w:before="0" w:after="80" w:line="276" w:lineRule="auto"/>
        <w:jc w:val="both"/>
      </w:pPr>
      <w:r>
        <w:rPr>
          <w:rFonts w:ascii="Times New Roman" w:hAnsi="Times New Roman"/>
          <w:sz w:val="24"/>
        </w:rPr>
        <w:t>The complete technology stack incorporates industry-standard, production-ready open source software:</w:t>
      </w:r>
    </w:p>
    <w:p>
      <w:pPr>
        <w:pStyle w:val="ListBullet"/>
        <w:spacing w:before="0" w:after="60" w:line="276" w:lineRule="auto"/>
        <w:jc w:val="both"/>
      </w:pPr>
      <w:r>
        <w:rPr>
          <w:rFonts w:ascii="Times New Roman" w:hAnsi="Times New Roman"/>
          <w:b/>
          <w:sz w:val="23"/>
        </w:rPr>
        <w:t xml:space="preserve">Operating System: </w:t>
      </w:r>
      <w:r>
        <w:rPr>
          <w:rFonts w:ascii="Times New Roman" w:hAnsi="Times New Roman"/>
          <w:sz w:val="23"/>
        </w:rPr>
        <w:t>Microsoft Windows 10/11 64-bit or Ubuntu Linux 22.04 LTS.</w:t>
      </w:r>
    </w:p>
    <w:p>
      <w:pPr>
        <w:pStyle w:val="ListBullet"/>
        <w:spacing w:before="0" w:after="60" w:line="276" w:lineRule="auto"/>
        <w:jc w:val="both"/>
      </w:pPr>
      <w:r>
        <w:rPr>
          <w:rFonts w:ascii="Times New Roman" w:hAnsi="Times New Roman"/>
          <w:b/>
          <w:sz w:val="23"/>
        </w:rPr>
        <w:t xml:space="preserve">Database Management System: </w:t>
      </w:r>
      <w:r>
        <w:rPr>
          <w:rFonts w:ascii="Times New Roman" w:hAnsi="Times New Roman"/>
          <w:sz w:val="23"/>
        </w:rPr>
        <w:t>MySQL Community Server 8.0.x with InnoDB Storage Engine, UTF8MB4 charset, and ACID transactions.</w:t>
      </w:r>
    </w:p>
    <w:p>
      <w:pPr>
        <w:pStyle w:val="ListBullet"/>
        <w:spacing w:before="0" w:after="60" w:line="276" w:lineRule="auto"/>
        <w:jc w:val="both"/>
      </w:pPr>
      <w:r>
        <w:rPr>
          <w:rFonts w:ascii="Times New Roman" w:hAnsi="Times New Roman"/>
          <w:b/>
          <w:sz w:val="23"/>
        </w:rPr>
        <w:t xml:space="preserve">Application Server: </w:t>
      </w:r>
      <w:r>
        <w:rPr>
          <w:rFonts w:ascii="Times New Roman" w:hAnsi="Times New Roman"/>
          <w:sz w:val="23"/>
        </w:rPr>
        <w:t>Python 3.10+ runtime, Flask 3.x web microframework, Jinja2 templating, and Werkzeug security.</w:t>
      </w:r>
    </w:p>
    <w:p>
      <w:pPr>
        <w:pStyle w:val="ListBullet"/>
        <w:spacing w:before="0" w:after="60" w:line="276" w:lineRule="auto"/>
        <w:jc w:val="both"/>
      </w:pPr>
      <w:r>
        <w:rPr>
          <w:rFonts w:ascii="Times New Roman" w:hAnsi="Times New Roman"/>
          <w:b/>
          <w:sz w:val="23"/>
        </w:rPr>
        <w:t xml:space="preserve">Database Connectivity: </w:t>
      </w:r>
      <w:r>
        <w:rPr>
          <w:rFonts w:ascii="Times New Roman" w:hAnsi="Times New Roman"/>
          <w:sz w:val="23"/>
        </w:rPr>
        <w:t>Official Oracle mysql-connector-python 9.x driver with persistent connection pooling.</w:t>
      </w:r>
    </w:p>
    <w:p>
      <w:pPr>
        <w:pStyle w:val="ListBullet"/>
        <w:spacing w:before="0" w:after="60" w:line="276" w:lineRule="auto"/>
        <w:jc w:val="both"/>
      </w:pPr>
      <w:r>
        <w:rPr>
          <w:rFonts w:ascii="Times New Roman" w:hAnsi="Times New Roman"/>
          <w:b/>
          <w:sz w:val="23"/>
        </w:rPr>
        <w:t xml:space="preserve">Frontend Interface: </w:t>
      </w:r>
      <w:r>
        <w:rPr>
          <w:rFonts w:ascii="Times New Roman" w:hAnsi="Times New Roman"/>
          <w:sz w:val="23"/>
        </w:rPr>
        <w:t>HTML5, CSS3, JavaScript (ES6+), Bootstrap 5.3.3 framework, Bootstrap Icons 1.11, and Chart.js 4.4.</w:t>
      </w:r>
    </w:p>
    <w:p>
      <w:pPr>
        <w:pStyle w:val="ListBullet"/>
        <w:spacing w:before="0" w:after="60" w:line="276" w:lineRule="auto"/>
        <w:jc w:val="both"/>
      </w:pPr>
      <w:r>
        <w:rPr>
          <w:rFonts w:ascii="Times New Roman" w:hAnsi="Times New Roman"/>
          <w:b/>
          <w:sz w:val="23"/>
        </w:rPr>
        <w:t xml:space="preserve">Test Automation: </w:t>
      </w:r>
      <w:r>
        <w:rPr>
          <w:rFonts w:ascii="Times New Roman" w:hAnsi="Times New Roman"/>
          <w:sz w:val="23"/>
        </w:rPr>
        <w:t>Pytest 8.x automated unit and integration testing suite with coverage metrics.</w:t>
      </w:r>
    </w:p>
    <w:p>
      <w:pPr>
        <w:keepNext/>
        <w:pageBreakBefore/>
        <w:spacing w:before="320" w:after="160"/>
        <w:jc w:val="left"/>
      </w:pPr>
      <w:r>
        <w:rPr>
          <w:rFonts w:ascii="Times New Roman" w:hAnsi="Times New Roman"/>
          <w:b/>
          <w:color w:val="000000"/>
          <w:sz w:val="28"/>
        </w:rPr>
        <w:t>3. METHODOLOGY / SYSTEM DESIGN</w:t>
      </w:r>
    </w:p>
    <w:p>
      <w:pPr>
        <w:keepNext/>
        <w:spacing w:before="220" w:after="80"/>
        <w:jc w:val="left"/>
      </w:pPr>
      <w:r>
        <w:rPr>
          <w:rFonts w:ascii="Times New Roman" w:hAnsi="Times New Roman"/>
          <w:b/>
          <w:color w:val="17365D"/>
          <w:sz w:val="24"/>
        </w:rPr>
        <w:t>3.1 System Architecture</w:t>
      </w:r>
    </w:p>
    <w:p>
      <w:pPr>
        <w:spacing w:before="0" w:after="80" w:line="276" w:lineRule="auto"/>
        <w:jc w:val="both"/>
      </w:pPr>
      <w:r>
        <w:rPr>
          <w:rFonts w:ascii="Times New Roman" w:hAnsi="Times New Roman"/>
          <w:sz w:val="24"/>
        </w:rPr>
        <w:t>CRISS is engineered following a modular Multi-Tier Relational Application Architecture. This architectural pattern establishes strict separation of concerns across four discrete layers: (1) Presentation Layer, (2) Application &amp; Controller Layer, (3) Business Logic &amp; Domain Services Layer, and (4) Persistence &amp; Database Layer. Figure 3.1 visualizes this multi-tier architecture.</w:t>
      </w:r>
    </w:p>
    <w:p>
      <w:pPr>
        <w:keepNext/>
        <w:spacing w:before="160" w:after="80"/>
        <w:jc w:val="center"/>
      </w:pPr>
      <w:r>
        <w:drawing>
          <wp:inline xmlns:a="http://schemas.openxmlformats.org/drawingml/2006/main" xmlns:pic="http://schemas.openxmlformats.org/drawingml/2006/picture">
            <wp:extent cx="6035040" cy="1361811"/>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035040" cy="1361811"/>
                    </a:xfrm>
                    <a:prstGeom prst="rect"/>
                  </pic:spPr>
                </pic:pic>
              </a:graphicData>
            </a:graphic>
          </wp:inline>
        </w:drawing>
      </w:r>
    </w:p>
    <w:p>
      <w:pPr>
        <w:spacing w:before="40" w:after="200"/>
        <w:jc w:val="center"/>
      </w:pPr>
      <w:r>
        <w:rPr>
          <w:rFonts w:ascii="Times New Roman" w:hAnsi="Times New Roman"/>
          <w:b/>
          <w:i/>
          <w:color w:val="17365D"/>
          <w:sz w:val="21"/>
        </w:rPr>
        <w:t>Figure 3.1: CRISS Multi-Tier Relational System Architecture</w:t>
      </w:r>
    </w:p>
    <w:p>
      <w:pPr>
        <w:spacing w:before="0" w:after="80" w:line="276" w:lineRule="auto"/>
        <w:jc w:val="both"/>
      </w:pPr>
      <w:r>
        <w:rPr>
          <w:rFonts w:ascii="Times New Roman" w:hAnsi="Times New Roman"/>
          <w:sz w:val="24"/>
        </w:rPr>
        <w:t>1. Presentation Layer: The presentation tier utilizes Bootstrap 5.3 and responsive CSS3 to render tailored views for students and administrators. Dynamic client-side charting is handled via Chart.js, while asynchronous interactions (such as instant availability checks and modal submissions) operate through JavaScript Fetch APIs.</w:t>
        <w:br/>
        <w:t>2. Application &amp; Controller Layer: Flask Blueprints partition HTTP request handling into cohesive modules (`auth_routes`, `resource_routes`, `reservation_routes`, `loan_routes`, `demand_routes`, `admin_routes`). This layer handles session authentication, cryptographic CSRF tokens, and parameter validation.</w:t>
        <w:br/>
        <w:t>3. Business Logic &amp; Services Layer: Dedicated Python service modules (`reservation_service.py`, `loan_service.py`, `demand_engine.py`, `recommendation_service.py`) encapsulate domain logic. Transactions are explicitly orchestrated here using `connection.start_transaction()` and pessimistic locking.</w:t>
        <w:br/>
        <w:t>4. Persistence &amp; Database Layer: MySQL 8 Community Server provides ACID-compliant storage via the InnoDB engine. All data integrity rules, foreign key constraints, indexes, views, stored procedures, and triggers are enforced directly in the database.</w:t>
      </w:r>
    </w:p>
    <w:p>
      <w:pPr>
        <w:keepNext/>
        <w:spacing w:before="220" w:after="80"/>
        <w:jc w:val="left"/>
      </w:pPr>
      <w:r>
        <w:rPr>
          <w:rFonts w:ascii="Times New Roman" w:hAnsi="Times New Roman"/>
          <w:b/>
          <w:color w:val="17365D"/>
          <w:sz w:val="24"/>
        </w:rPr>
        <w:t>3.2 Database Design &amp; Relational Schema</w:t>
      </w:r>
    </w:p>
    <w:p>
      <w:pPr>
        <w:spacing w:before="0" w:after="80" w:line="276" w:lineRule="auto"/>
        <w:jc w:val="both"/>
      </w:pPr>
      <w:r>
        <w:rPr>
          <w:rFonts w:ascii="Times New Roman" w:hAnsi="Times New Roman"/>
          <w:sz w:val="24"/>
        </w:rPr>
        <w:t>The relational schema consists of 11 normalized tables designed to manage institutional inventory, circulation, student peer-to-peer listings, asset maintenance, and unfulfilled demand analytics. Figure 3.2 illustrates the complete Entity-Relationship diagram.</w:t>
      </w:r>
    </w:p>
    <w:p>
      <w:pPr>
        <w:keepNext/>
        <w:spacing w:before="160" w:after="80"/>
        <w:jc w:val="center"/>
      </w:pPr>
      <w:r>
        <w:drawing>
          <wp:inline xmlns:a="http://schemas.openxmlformats.org/drawingml/2006/main" xmlns:pic="http://schemas.openxmlformats.org/drawingml/2006/picture">
            <wp:extent cx="6035040" cy="2736263"/>
            <wp:docPr id="2" name="Picture 2"/>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6035040" cy="2736263"/>
                    </a:xfrm>
                    <a:prstGeom prst="rect"/>
                  </pic:spPr>
                </pic:pic>
              </a:graphicData>
            </a:graphic>
          </wp:inline>
        </w:drawing>
      </w:r>
    </w:p>
    <w:p>
      <w:pPr>
        <w:spacing w:before="40" w:after="200"/>
        <w:jc w:val="center"/>
      </w:pPr>
      <w:r>
        <w:rPr>
          <w:rFonts w:ascii="Times New Roman" w:hAnsi="Times New Roman"/>
          <w:b/>
          <w:i/>
          <w:color w:val="17365D"/>
          <w:sz w:val="21"/>
        </w:rPr>
        <w:t>Figure 3.2: CRISS 3NF Entity-Relationship Diagram</w:t>
      </w:r>
    </w:p>
    <w:p>
      <w:pPr>
        <w:spacing w:before="0" w:after="80" w:line="276" w:lineRule="auto"/>
        <w:jc w:val="both"/>
      </w:pPr>
      <w:r>
        <w:rPr>
          <w:rFonts w:ascii="Times New Roman" w:hAnsi="Times New Roman"/>
          <w:sz w:val="24"/>
        </w:rPr>
        <w:t>The core relational entities and their relational dependencies include:</w:t>
      </w:r>
    </w:p>
    <w:p>
      <w:pPr>
        <w:pStyle w:val="ListBullet"/>
        <w:spacing w:before="0" w:after="60" w:line="276" w:lineRule="auto"/>
        <w:jc w:val="both"/>
      </w:pPr>
      <w:r>
        <w:rPr>
          <w:rFonts w:ascii="Times New Roman" w:hAnsi="Times New Roman"/>
          <w:b/>
          <w:sz w:val="23"/>
        </w:rPr>
        <w:t xml:space="preserve">Users Entity (users): </w:t>
      </w:r>
      <w:r>
        <w:rPr>
          <w:rFonts w:ascii="Times New Roman" w:hAnsi="Times New Roman"/>
          <w:sz w:val="23"/>
        </w:rPr>
        <w:t>Stores registered users, salted PBKDF2 password hashes, contact details, campus identification numbers, and role assignments (Student, Faculty, Admin).</w:t>
      </w:r>
    </w:p>
    <w:p>
      <w:pPr>
        <w:pStyle w:val="ListBullet"/>
        <w:spacing w:before="0" w:after="60" w:line="276" w:lineRule="auto"/>
        <w:jc w:val="both"/>
      </w:pPr>
      <w:r>
        <w:rPr>
          <w:rFonts w:ascii="Times New Roman" w:hAnsi="Times New Roman"/>
          <w:b/>
          <w:sz w:val="23"/>
        </w:rPr>
        <w:t xml:space="preserve">Departments Entity (departments): </w:t>
      </w:r>
      <w:r>
        <w:rPr>
          <w:rFonts w:ascii="Times New Roman" w:hAnsi="Times New Roman"/>
          <w:sz w:val="23"/>
        </w:rPr>
        <w:t>Maintains institutional academic departments (e.g., Computer Engineering, Information Technology, Electronics).</w:t>
      </w:r>
    </w:p>
    <w:p>
      <w:pPr>
        <w:pStyle w:val="ListBullet"/>
        <w:spacing w:before="0" w:after="60" w:line="276" w:lineRule="auto"/>
        <w:jc w:val="both"/>
      </w:pPr>
      <w:r>
        <w:rPr>
          <w:rFonts w:ascii="Times New Roman" w:hAnsi="Times New Roman"/>
          <w:b/>
          <w:sz w:val="23"/>
        </w:rPr>
        <w:t xml:space="preserve">Resources Entity (resources): </w:t>
      </w:r>
      <w:r>
        <w:rPr>
          <w:rFonts w:ascii="Times New Roman" w:hAnsi="Times New Roman"/>
          <w:sz w:val="23"/>
        </w:rPr>
        <w:t>Represents catalog-level academic assets, containing descriptive titles, category types, specifications, and minimum advance reservation rules.</w:t>
      </w:r>
    </w:p>
    <w:p>
      <w:pPr>
        <w:pStyle w:val="ListBullet"/>
        <w:spacing w:before="0" w:after="60" w:line="276" w:lineRule="auto"/>
        <w:jc w:val="both"/>
      </w:pPr>
      <w:r>
        <w:rPr>
          <w:rFonts w:ascii="Times New Roman" w:hAnsi="Times New Roman"/>
          <w:b/>
          <w:sz w:val="23"/>
        </w:rPr>
        <w:t xml:space="preserve">Resource Copies Entity (resource_copies): </w:t>
      </w:r>
      <w:r>
        <w:rPr>
          <w:rFonts w:ascii="Times New Roman" w:hAnsi="Times New Roman"/>
          <w:sz w:val="23"/>
        </w:rPr>
        <w:t>Tracks individual physical inventory items, unique barcodes/serial numbers, current physical condition, location racks, and operational copy status (AVAILABLE, RESERVED, ON_LOAN, MAINTENANCE, RETIRED).</w:t>
      </w:r>
    </w:p>
    <w:p>
      <w:pPr>
        <w:pStyle w:val="ListBullet"/>
        <w:spacing w:before="0" w:after="60" w:line="276" w:lineRule="auto"/>
        <w:jc w:val="both"/>
      </w:pPr>
      <w:r>
        <w:rPr>
          <w:rFonts w:ascii="Times New Roman" w:hAnsi="Times New Roman"/>
          <w:b/>
          <w:sz w:val="23"/>
        </w:rPr>
        <w:t xml:space="preserve">Student Listings Entity (student_listings): </w:t>
      </w:r>
      <w:r>
        <w:rPr>
          <w:rFonts w:ascii="Times New Roman" w:hAnsi="Times New Roman"/>
          <w:sz w:val="23"/>
        </w:rPr>
        <w:t>Manages student-owned resources offered for peer lending, lending conditions, condition ratings, and privacy-shielded status toggles.</w:t>
      </w:r>
    </w:p>
    <w:p>
      <w:pPr>
        <w:pStyle w:val="ListBullet"/>
        <w:spacing w:before="0" w:after="60" w:line="276" w:lineRule="auto"/>
        <w:jc w:val="both"/>
      </w:pPr>
      <w:r>
        <w:rPr>
          <w:rFonts w:ascii="Times New Roman" w:hAnsi="Times New Roman"/>
          <w:b/>
          <w:sz w:val="23"/>
        </w:rPr>
        <w:t xml:space="preserve">Reservations Entity (reservations): </w:t>
      </w:r>
      <w:r>
        <w:rPr>
          <w:rFonts w:ascii="Times New Roman" w:hAnsi="Times New Roman"/>
          <w:sz w:val="23"/>
        </w:rPr>
        <w:t>Enforces reservation time windows (start_date, end_date), tracking reservation lifecycle states (CONFIRMED, FULFILLED, CANCELLED, EXPIRED) with row-level overlap protection.</w:t>
      </w:r>
    </w:p>
    <w:p>
      <w:pPr>
        <w:pStyle w:val="ListBullet"/>
        <w:spacing w:before="0" w:after="60" w:line="276" w:lineRule="auto"/>
        <w:jc w:val="both"/>
      </w:pPr>
      <w:r>
        <w:rPr>
          <w:rFonts w:ascii="Times New Roman" w:hAnsi="Times New Roman"/>
          <w:b/>
          <w:sz w:val="23"/>
        </w:rPr>
        <w:t xml:space="preserve">Loans Entity (loans): </w:t>
      </w:r>
      <w:r>
        <w:rPr>
          <w:rFonts w:ascii="Times New Roman" w:hAnsi="Times New Roman"/>
          <w:sz w:val="23"/>
        </w:rPr>
        <w:t>Records physical borrowing transactions, tracking checkout dates, scheduled due dates, actual return timestamps, condition transitions, and overdue statuses.</w:t>
      </w:r>
    </w:p>
    <w:p>
      <w:pPr>
        <w:pStyle w:val="ListBullet"/>
        <w:spacing w:before="0" w:after="60" w:line="276" w:lineRule="auto"/>
        <w:jc w:val="both"/>
      </w:pPr>
      <w:r>
        <w:rPr>
          <w:rFonts w:ascii="Times New Roman" w:hAnsi="Times New Roman"/>
          <w:b/>
          <w:sz w:val="23"/>
        </w:rPr>
        <w:t xml:space="preserve">Demand Requests Entity (demand_requests): </w:t>
      </w:r>
      <w:r>
        <w:rPr>
          <w:rFonts w:ascii="Times New Roman" w:hAnsi="Times New Roman"/>
          <w:sz w:val="23"/>
        </w:rPr>
        <w:t>Logs unfulfilled resource searches and student demand requests, recording urgency, request status (PENDING, FULFILLED, EXPIRED), and fulfillment linkage.</w:t>
      </w:r>
    </w:p>
    <w:p>
      <w:pPr>
        <w:pStyle w:val="ListBullet"/>
        <w:spacing w:before="0" w:after="60" w:line="276" w:lineRule="auto"/>
        <w:jc w:val="both"/>
      </w:pPr>
      <w:r>
        <w:rPr>
          <w:rFonts w:ascii="Times New Roman" w:hAnsi="Times New Roman"/>
          <w:b/>
          <w:sz w:val="23"/>
        </w:rPr>
        <w:t xml:space="preserve">Maintenance Records Entity (maintenance_records): </w:t>
      </w:r>
      <w:r>
        <w:rPr>
          <w:rFonts w:ascii="Times New Roman" w:hAnsi="Times New Roman"/>
          <w:sz w:val="23"/>
        </w:rPr>
        <w:t>Quarantines damaged copies, logging issue descriptions, maintenance technician notes, repair expenditures, and resolution dates.</w:t>
      </w:r>
    </w:p>
    <w:p>
      <w:pPr>
        <w:pStyle w:val="ListBullet"/>
        <w:spacing w:before="0" w:after="60" w:line="276" w:lineRule="auto"/>
        <w:jc w:val="both"/>
      </w:pPr>
      <w:r>
        <w:rPr>
          <w:rFonts w:ascii="Times New Roman" w:hAnsi="Times New Roman"/>
          <w:b/>
          <w:sz w:val="23"/>
        </w:rPr>
        <w:t xml:space="preserve">Usage Logs Entity (usage_logs): </w:t>
      </w:r>
      <w:r>
        <w:rPr>
          <w:rFonts w:ascii="Times New Roman" w:hAnsi="Times New Roman"/>
          <w:sz w:val="23"/>
        </w:rPr>
        <w:t>Provides an immutable audit log of checkouts, returns, condition changes, and administrative actions.</w:t>
      </w:r>
    </w:p>
    <w:p>
      <w:pPr>
        <w:pStyle w:val="ListBullet"/>
        <w:spacing w:before="0" w:after="60" w:line="276" w:lineRule="auto"/>
        <w:jc w:val="both"/>
      </w:pPr>
      <w:r>
        <w:rPr>
          <w:rFonts w:ascii="Times New Roman" w:hAnsi="Times New Roman"/>
          <w:b/>
          <w:sz w:val="23"/>
        </w:rPr>
        <w:t xml:space="preserve">Notifications Entity (notifications): </w:t>
      </w:r>
      <w:r>
        <w:rPr>
          <w:rFonts w:ascii="Times New Roman" w:hAnsi="Times New Roman"/>
          <w:sz w:val="23"/>
        </w:rPr>
        <w:t>Dispatches in-app alerts regarding reservation confirmation, due dates, overdue items, and fulfilled demand requests.</w:t>
      </w:r>
    </w:p>
    <w:p>
      <w:pPr>
        <w:keepNext/>
        <w:spacing w:before="220" w:after="80"/>
        <w:jc w:val="left"/>
      </w:pPr>
      <w:r>
        <w:rPr>
          <w:rFonts w:ascii="Times New Roman" w:hAnsi="Times New Roman"/>
          <w:b/>
          <w:color w:val="17365D"/>
          <w:sz w:val="24"/>
        </w:rPr>
        <w:t>3.3 Relational Normalization Analysis (1NF, 2NF, 3NF)</w:t>
      </w:r>
    </w:p>
    <w:p>
      <w:pPr>
        <w:spacing w:before="0" w:after="80" w:line="276" w:lineRule="auto"/>
        <w:jc w:val="both"/>
      </w:pPr>
      <w:r>
        <w:rPr>
          <w:rFonts w:ascii="Times New Roman" w:hAnsi="Times New Roman"/>
          <w:sz w:val="24"/>
        </w:rPr>
        <w:t>A rigorous normalization analysis was conducted on the CRISS relational schema to guarantee elimination of insertion, update, and deletion anomalies. The design satisfies Third Normal Form (3NF) requirements:</w:t>
      </w:r>
    </w:p>
    <w:p>
      <w:pPr>
        <w:pStyle w:val="ListBullet"/>
        <w:spacing w:before="0" w:after="60" w:line="276" w:lineRule="auto"/>
        <w:jc w:val="both"/>
      </w:pPr>
      <w:r>
        <w:rPr>
          <w:rFonts w:ascii="Times New Roman" w:hAnsi="Times New Roman"/>
          <w:b/>
          <w:sz w:val="23"/>
        </w:rPr>
        <w:t xml:space="preserve">First Normal Form (1NF): </w:t>
      </w:r>
      <w:r>
        <w:rPr>
          <w:rFonts w:ascii="Times New Roman" w:hAnsi="Times New Roman"/>
          <w:sz w:val="23"/>
        </w:rPr>
        <w:t>All column values across all 11 tables are atomic. Repeating groups and comma-separated arrays were entirely eliminated. For example, resource specifications are structured in dedicated typed columns or atomic JSON structures, and physical copies are decomposed into individual rows in `resource_copies` rather than count attributes.</w:t>
      </w:r>
    </w:p>
    <w:p>
      <w:pPr>
        <w:pStyle w:val="ListBullet"/>
        <w:spacing w:before="0" w:after="60" w:line="276" w:lineRule="auto"/>
        <w:jc w:val="both"/>
      </w:pPr>
      <w:r>
        <w:rPr>
          <w:rFonts w:ascii="Times New Roman" w:hAnsi="Times New Roman"/>
          <w:b/>
          <w:sz w:val="23"/>
        </w:rPr>
        <w:t xml:space="preserve">Second Normal Form (2NF): </w:t>
      </w:r>
      <w:r>
        <w:rPr>
          <w:rFonts w:ascii="Times New Roman" w:hAnsi="Times New Roman"/>
          <w:sz w:val="23"/>
        </w:rPr>
        <w:t>Every table possesses a surrogate primary key (`id` / `copy_id` / `loan_id`). In all composite candidate keys (such as `(resource_id, copy_number)`), every non-key attribute is fully functionally dependent on the entire primary key, eliminating partial functional dependencies.</w:t>
      </w:r>
    </w:p>
    <w:p>
      <w:pPr>
        <w:pStyle w:val="ListBullet"/>
        <w:spacing w:before="0" w:after="60" w:line="276" w:lineRule="auto"/>
        <w:jc w:val="both"/>
      </w:pPr>
      <w:r>
        <w:rPr>
          <w:rFonts w:ascii="Times New Roman" w:hAnsi="Times New Roman"/>
          <w:b/>
          <w:sz w:val="23"/>
        </w:rPr>
        <w:t xml:space="preserve">Third Normal Form (3NF): </w:t>
      </w:r>
      <w:r>
        <w:rPr>
          <w:rFonts w:ascii="Times New Roman" w:hAnsi="Times New Roman"/>
          <w:sz w:val="23"/>
        </w:rPr>
        <w:t>No non-key attribute is transitively dependent on another non-key attribute. For instance, rather than storing department names or location addresses redundantly inside the `resources` table, `resources` contains only the foreign key `department_id`, referencing `departments`. Similarly, loan records reference `copy_id`, from which `resource_id` is deterministically resolved through the parent copy.</w:t>
      </w:r>
    </w:p>
    <w:p>
      <w:pPr>
        <w:keepNext/>
        <w:spacing w:before="220" w:after="80"/>
        <w:jc w:val="left"/>
      </w:pPr>
      <w:r>
        <w:rPr>
          <w:rFonts w:ascii="Times New Roman" w:hAnsi="Times New Roman"/>
          <w:b/>
          <w:color w:val="17365D"/>
          <w:sz w:val="24"/>
        </w:rPr>
        <w:t>3.4 Resource Lifecycle &amp; Concurrency State Machines</w:t>
      </w:r>
    </w:p>
    <w:p>
      <w:pPr>
        <w:spacing w:before="0" w:after="80" w:line="276" w:lineRule="auto"/>
        <w:jc w:val="both"/>
      </w:pPr>
      <w:r>
        <w:rPr>
          <w:rFonts w:ascii="Times New Roman" w:hAnsi="Times New Roman"/>
          <w:sz w:val="24"/>
        </w:rPr>
        <w:t>Asset circulation and peer lending adhere to strictly enforced finite state machines. Figure 3.3 illustrates the state transitions for institutional copies, student listings, reservations, and physical loans.</w:t>
      </w:r>
    </w:p>
    <w:p>
      <w:pPr>
        <w:keepNext/>
        <w:spacing w:before="160" w:after="80"/>
        <w:jc w:val="center"/>
      </w:pPr>
      <w:r>
        <w:drawing>
          <wp:inline xmlns:a="http://schemas.openxmlformats.org/drawingml/2006/main" xmlns:pic="http://schemas.openxmlformats.org/drawingml/2006/picture">
            <wp:extent cx="6035040" cy="1069944"/>
            <wp:docPr id="3" name="Picture 3"/>
            <wp:cNvGraphicFramePr>
              <a:graphicFrameLocks noChangeAspect="1"/>
            </wp:cNvGraphicFramePr>
            <a:graphic>
              <a:graphicData uri="http://schemas.openxmlformats.org/drawingml/2006/picture">
                <pic:pic>
                  <pic:nvPicPr>
                    <pic:cNvPr id="0" name="lifecycle_diagram.png"/>
                    <pic:cNvPicPr/>
                  </pic:nvPicPr>
                  <pic:blipFill>
                    <a:blip r:embed="rId13"/>
                    <a:stretch>
                      <a:fillRect/>
                    </a:stretch>
                  </pic:blipFill>
                  <pic:spPr>
                    <a:xfrm>
                      <a:off x="0" y="0"/>
                      <a:ext cx="6035040" cy="1069944"/>
                    </a:xfrm>
                    <a:prstGeom prst="rect"/>
                  </pic:spPr>
                </pic:pic>
              </a:graphicData>
            </a:graphic>
          </wp:inline>
        </w:drawing>
      </w:r>
    </w:p>
    <w:p>
      <w:pPr>
        <w:spacing w:before="40" w:after="200"/>
        <w:jc w:val="center"/>
      </w:pPr>
      <w:r>
        <w:rPr>
          <w:rFonts w:ascii="Times New Roman" w:hAnsi="Times New Roman"/>
          <w:b/>
          <w:i/>
          <w:color w:val="17365D"/>
          <w:sz w:val="21"/>
        </w:rPr>
        <w:t>Figure 3.3: CRISS Resource Lifecycle &amp; State Transition Model</w:t>
      </w:r>
    </w:p>
    <w:p>
      <w:pPr>
        <w:spacing w:before="0" w:after="80" w:line="276" w:lineRule="auto"/>
        <w:jc w:val="both"/>
      </w:pPr>
      <w:r>
        <w:rPr>
          <w:rFonts w:ascii="Times New Roman" w:hAnsi="Times New Roman"/>
          <w:sz w:val="24"/>
        </w:rPr>
        <w:t>When an institutional resource copy is added, it enters the `AVAILABLE` state. Upon confirmed reservation, it transitions to `RESERVED`. Physical loan dispatch moves the copy to `ON_LOAN`. Upon return, if damage is reported, the copy enters `MAINTENANCE` (quarantined from borrowing) until certified repaired, returning to `AVAILABLE`. Similarly, student peer listings transition dynamically between `ACTIVE`, `BORROWED`, and `PAUSED`.</w:t>
      </w:r>
    </w:p>
    <w:p>
      <w:pPr>
        <w:keepNext/>
        <w:spacing w:before="220" w:after="80"/>
        <w:jc w:val="left"/>
      </w:pPr>
      <w:r>
        <w:rPr>
          <w:rFonts w:ascii="Times New Roman" w:hAnsi="Times New Roman"/>
          <w:b/>
          <w:color w:val="17365D"/>
          <w:sz w:val="24"/>
        </w:rPr>
        <w:t>3.5 Demand-Aware Resource Allocation Engine &amp; Scoring Methodology</w:t>
      </w:r>
    </w:p>
    <w:p>
      <w:pPr>
        <w:spacing w:before="0" w:after="80" w:line="276" w:lineRule="auto"/>
        <w:jc w:val="both"/>
      </w:pPr>
      <w:r>
        <w:rPr>
          <w:rFonts w:ascii="Times New Roman" w:hAnsi="Times New Roman"/>
          <w:sz w:val="24"/>
        </w:rPr>
        <w:t>Higher education institutions routinely struggle with misallocated procurement budgets. CRISS introduces an objective, demand-aware resource allocation scoring engine based on Multi-Criteria Decision Analysis (MCDA). Crucially, this scoring mechanism is completely explainable, deterministic, and transparent, avoiding unverifiable or black-box artificial intelligence claims.</w:t>
      </w:r>
    </w:p>
    <w:p>
      <w:pPr>
        <w:keepNext/>
        <w:spacing w:before="160" w:after="60"/>
        <w:jc w:val="left"/>
      </w:pPr>
      <w:r>
        <w:rPr>
          <w:rFonts w:ascii="Times New Roman" w:hAnsi="Times New Roman"/>
          <w:b/>
          <w:color w:val="0F243E"/>
          <w:sz w:val="22"/>
        </w:rPr>
        <w:t>1. Unmet Demand Rate (UDR)</w:t>
      </w:r>
    </w:p>
    <w:p>
      <w:pPr>
        <w:spacing w:before="0" w:after="80" w:line="276" w:lineRule="auto"/>
        <w:jc w:val="both"/>
      </w:pPr>
      <w:r>
        <w:rPr>
          <w:rFonts w:ascii="Times New Roman" w:hAnsi="Times New Roman"/>
          <w:sz w:val="24"/>
        </w:rPr>
        <w:t>The Unmet Demand Rate calculates the percentage of valid resource requests that could not be immediately fulfilled due to inventory shortages within a defined observation window:</w:t>
      </w:r>
    </w:p>
    <w:p>
      <w:pPr>
        <w:spacing w:before="80" w:after="120" w:line="240" w:lineRule="auto"/>
        <w:ind w:left="288" w:right="288"/>
        <w:pBdr>
          <w:left w:val="single" w:sz="18" w:space="8" w:color="0D9488"/>
        </w:pBdr>
        <w:shd w:val="clear" w:color="auto" w:fill="F8FAFC"/>
      </w:pPr>
      <w:r>
        <w:rPr>
          <w:rFonts w:ascii="Courier New" w:hAnsi="Courier New"/>
          <w:color w:val="1E293B"/>
          <w:sz w:val="19"/>
        </w:rPr>
        <w:t>Unmet Demand Rate (UDR) = ( Unfulfilled Valid Requests / Total Valid Requests ) * 100</w:t>
      </w:r>
    </w:p>
    <w:p>
      <w:pPr>
        <w:keepNext/>
        <w:spacing w:before="160" w:after="60"/>
        <w:jc w:val="left"/>
      </w:pPr>
      <w:r>
        <w:rPr>
          <w:rFonts w:ascii="Times New Roman" w:hAnsi="Times New Roman"/>
          <w:b/>
          <w:color w:val="0F243E"/>
          <w:sz w:val="22"/>
        </w:rPr>
        <w:t>2. Multi-Criteria Review Priority Score</w:t>
      </w:r>
    </w:p>
    <w:p>
      <w:pPr>
        <w:spacing w:before="0" w:after="80" w:line="276" w:lineRule="auto"/>
        <w:jc w:val="both"/>
      </w:pPr>
      <w:r>
        <w:rPr>
          <w:rFonts w:ascii="Times New Roman" w:hAnsi="Times New Roman"/>
          <w:sz w:val="24"/>
        </w:rPr>
        <w:t>To provide administrators with an actionable, ranked procurement list, the engine computes a composite Review Priority Score (ranging from 0.0 to 100.0) combining four operational parameters:</w:t>
      </w:r>
    </w:p>
    <w:p>
      <w:pPr>
        <w:spacing w:before="80" w:after="120" w:line="240" w:lineRule="auto"/>
        <w:ind w:left="288" w:right="288"/>
        <w:pBdr>
          <w:left w:val="single" w:sz="18" w:space="8" w:color="0D9488"/>
        </w:pBdr>
        <w:shd w:val="clear" w:color="auto" w:fill="F8FAFC"/>
      </w:pPr>
      <w:r>
        <w:rPr>
          <w:rFonts w:ascii="Courier New" w:hAnsi="Courier New"/>
          <w:color w:val="1E293B"/>
          <w:sz w:val="19"/>
        </w:rPr>
        <w:t>Priority Score = 0.40 * UDR</w:t>
        <w:br/>
        <w:t xml:space="preserve">               + 0.30 * (100 - UR)</w:t>
        <w:br/>
        <w:t xml:space="preserve">               + 0.20 * min(RF * 10, 100)</w:t>
        <w:br/>
        <w:t xml:space="preserve">               + 0.10 * max(0, 100 - Alt * 25)</w:t>
      </w:r>
    </w:p>
    <w:p>
      <w:pPr>
        <w:spacing w:before="0" w:after="80" w:line="276" w:lineRule="auto"/>
        <w:jc w:val="both"/>
      </w:pPr>
      <w:r>
        <w:rPr>
          <w:rFonts w:ascii="Times New Roman" w:hAnsi="Times New Roman"/>
          <w:sz w:val="24"/>
        </w:rPr>
        <w:t>Where the operational terms and weights represent:</w:t>
      </w:r>
    </w:p>
    <w:p>
      <w:pPr>
        <w:pStyle w:val="ListBullet"/>
        <w:spacing w:before="0" w:after="60" w:line="276" w:lineRule="auto"/>
        <w:jc w:val="both"/>
      </w:pPr>
      <w:r>
        <w:rPr>
          <w:rFonts w:ascii="Times New Roman" w:hAnsi="Times New Roman"/>
          <w:b/>
          <w:sz w:val="23"/>
        </w:rPr>
        <w:t xml:space="preserve">• UDR (40% Weight): </w:t>
      </w:r>
      <w:r>
        <w:rPr>
          <w:rFonts w:ascii="Times New Roman" w:hAnsi="Times New Roman"/>
          <w:sz w:val="23"/>
        </w:rPr>
        <w:t>Unmet Demand Rate (0% to 100%). Heaviest weighting reflects acute student shortages.</w:t>
      </w:r>
    </w:p>
    <w:p>
      <w:pPr>
        <w:pStyle w:val="ListBullet"/>
        <w:spacing w:before="0" w:after="60" w:line="276" w:lineRule="auto"/>
        <w:jc w:val="both"/>
      </w:pPr>
      <w:r>
        <w:rPr>
          <w:rFonts w:ascii="Times New Roman" w:hAnsi="Times New Roman"/>
          <w:b/>
          <w:sz w:val="23"/>
        </w:rPr>
        <w:t xml:space="preserve">• (100 - UR) (30% Weight): </w:t>
      </w:r>
      <w:r>
        <w:rPr>
          <w:rFonts w:ascii="Times New Roman" w:hAnsi="Times New Roman"/>
          <w:sz w:val="23"/>
        </w:rPr>
        <w:t>Resource Utilization Rate (0% to 100%), calculated as `(Active Loans / Total Usable Copies) * 100`. The inverse term `(100 - UR)` prioritizes strained or under-supplied inventory.</w:t>
      </w:r>
    </w:p>
    <w:p>
      <w:pPr>
        <w:pStyle w:val="ListBullet"/>
        <w:spacing w:before="0" w:after="60" w:line="276" w:lineRule="auto"/>
        <w:jc w:val="both"/>
      </w:pPr>
      <w:r>
        <w:rPr>
          <w:rFonts w:ascii="Times New Roman" w:hAnsi="Times New Roman"/>
          <w:b/>
          <w:sz w:val="23"/>
        </w:rPr>
        <w:t xml:space="preserve">• Request Frequency RF (20% Weight): </w:t>
      </w:r>
      <w:r>
        <w:rPr>
          <w:rFonts w:ascii="Times New Roman" w:hAnsi="Times New Roman"/>
          <w:sz w:val="23"/>
        </w:rPr>
        <w:t>Total request count within the active period, scaled to a 100-point ceiling.</w:t>
      </w:r>
    </w:p>
    <w:p>
      <w:pPr>
        <w:pStyle w:val="ListBullet"/>
        <w:spacing w:before="0" w:after="60" w:line="276" w:lineRule="auto"/>
        <w:jc w:val="both"/>
      </w:pPr>
      <w:r>
        <w:rPr>
          <w:rFonts w:ascii="Times New Roman" w:hAnsi="Times New Roman"/>
          <w:b/>
          <w:sz w:val="23"/>
        </w:rPr>
        <w:t xml:space="preserve">• Alternative Availability Alt (10% Weight): </w:t>
      </w:r>
      <w:r>
        <w:rPr>
          <w:rFonts w:ascii="Times New Roman" w:hAnsi="Times New Roman"/>
          <w:sz w:val="23"/>
        </w:rPr>
        <w:t>Count of active, functionally equivalent resources available on campus. If multiple substitutes exist, procurement urgency decreases by 25 points per alternative.</w:t>
      </w:r>
    </w:p>
    <w:p>
      <w:pPr>
        <w:keepNext/>
        <w:pageBreakBefore/>
        <w:spacing w:before="320" w:after="160"/>
        <w:jc w:val="left"/>
      </w:pPr>
      <w:r>
        <w:rPr>
          <w:rFonts w:ascii="Times New Roman" w:hAnsi="Times New Roman"/>
          <w:b/>
          <w:color w:val="000000"/>
          <w:sz w:val="28"/>
        </w:rPr>
        <w:t>4. IMPLEMENTATION</w:t>
      </w:r>
    </w:p>
    <w:p>
      <w:pPr>
        <w:keepNext/>
        <w:spacing w:before="220" w:after="80"/>
        <w:jc w:val="left"/>
      </w:pPr>
      <w:r>
        <w:rPr>
          <w:rFonts w:ascii="Times New Roman" w:hAnsi="Times New Roman"/>
          <w:b/>
          <w:color w:val="17365D"/>
          <w:sz w:val="24"/>
        </w:rPr>
        <w:t>4.1 Relational Database DDL &amp; Data Constraints</w:t>
      </w:r>
    </w:p>
    <w:p>
      <w:pPr>
        <w:spacing w:before="0" w:after="80" w:line="276" w:lineRule="auto"/>
        <w:jc w:val="both"/>
      </w:pPr>
      <w:r>
        <w:rPr>
          <w:rFonts w:ascii="Times New Roman" w:hAnsi="Times New Roman"/>
          <w:sz w:val="24"/>
        </w:rPr>
        <w:t>The relational database schema is realized in MySQL 8 utilizing InnoDB tables with foreign key cascades, unique indexes, and status constraints. The following DDL snippet highlights the core table definitions:</w:t>
      </w:r>
    </w:p>
    <w:p>
      <w:pPr>
        <w:spacing w:before="80" w:after="120" w:line="240" w:lineRule="auto"/>
        <w:ind w:left="288" w:right="288"/>
        <w:pBdr>
          <w:left w:val="single" w:sz="18" w:space="8" w:color="0D9488"/>
        </w:pBdr>
        <w:shd w:val="clear" w:color="auto" w:fill="F8FAFC"/>
      </w:pPr>
      <w:r>
        <w:rPr>
          <w:rFonts w:ascii="Courier New" w:hAnsi="Courier New"/>
          <w:color w:val="1E293B"/>
          <w:sz w:val="19"/>
        </w:rPr>
        <w:t>-- Core Resource &amp; Copy Definitions</w:t>
        <w:br/>
        <w:t>CREATE TABLE resources (</w:t>
        <w:br/>
        <w:t xml:space="preserve">    id INT AUTO_INCREMENT PRIMARY KEY,</w:t>
        <w:br/>
        <w:t xml:space="preserve">    title VARCHAR(255) NOT NULL,</w:t>
        <w:br/>
        <w:t xml:space="preserve">    category ENUM('TEXTBOOK','LAB_KIT','CALCULATOR','ELECTRONICS','STUDY_ROOM') NOT NULL,</w:t>
        <w:br/>
        <w:t xml:space="preserve">    department_id INT NOT NULL,</w:t>
        <w:br/>
        <w:t xml:space="preserve">    location VARCHAR(100) NOT NULL,</w:t>
        <w:br/>
        <w:t xml:space="preserve">    min_advance_days INT DEFAULT 0,</w:t>
        <w:br/>
        <w:t xml:space="preserve">    created_at TIMESTAMP DEFAULT CURRENT_TIMESTAMP,</w:t>
        <w:br/>
        <w:t xml:space="preserve">    FOREIGN KEY (department_id) REFERENCES departments(id) ON DELETE RESTRICT</w:t>
        <w:br/>
        <w:t>) ENGINE=InnoDB;</w:t>
        <w:br/>
        <w:br/>
        <w:t>CREATE TABLE resource_copies (</w:t>
        <w:br/>
        <w:t xml:space="preserve">    id INT AUTO_INCREMENT PRIMARY KEY,</w:t>
        <w:br/>
        <w:t xml:space="preserve">    resource_id INT NOT NULL,</w:t>
        <w:br/>
        <w:t xml:space="preserve">    copy_number VARCHAR(50) UNIQUE NOT NULL,</w:t>
        <w:br/>
        <w:t xml:space="preserve">    status ENUM('AVAILABLE','RESERVED','ON_LOAN','MAINTENANCE','RETIRED') DEFAULT 'AVAILABLE',</w:t>
        <w:br/>
        <w:t xml:space="preserve">    `condition` ENUM('NEW','EXCELLENT','GOOD','FAIR','DAMAGED') DEFAULT 'GOOD',</w:t>
        <w:br/>
        <w:t xml:space="preserve">    FOREIGN KEY (resource_id) REFERENCES resources(id) ON DELETE CASCADE</w:t>
        <w:br/>
        <w:t>) ENGINE=InnoDB;</w:t>
      </w:r>
    </w:p>
    <w:p>
      <w:pPr>
        <w:keepNext/>
        <w:spacing w:before="220" w:after="80"/>
        <w:jc w:val="left"/>
      </w:pPr>
      <w:r>
        <w:rPr>
          <w:rFonts w:ascii="Times New Roman" w:hAnsi="Times New Roman"/>
          <w:b/>
          <w:color w:val="17365D"/>
          <w:sz w:val="24"/>
        </w:rPr>
        <w:t>4.2 Database Views for Abstraction</w:t>
      </w:r>
    </w:p>
    <w:p>
      <w:pPr>
        <w:spacing w:before="0" w:after="80" w:line="276" w:lineRule="auto"/>
        <w:jc w:val="both"/>
      </w:pPr>
      <w:r>
        <w:rPr>
          <w:rFonts w:ascii="Times New Roman" w:hAnsi="Times New Roman"/>
          <w:sz w:val="24"/>
        </w:rPr>
        <w:t>Two views provide optimized data abstraction for reporting and UI rendering:</w:t>
      </w:r>
    </w:p>
    <w:p>
      <w:pPr>
        <w:keepNext/>
        <w:spacing w:before="160" w:after="60"/>
        <w:jc w:val="left"/>
      </w:pPr>
      <w:r>
        <w:rPr>
          <w:rFonts w:ascii="Times New Roman" w:hAnsi="Times New Roman"/>
          <w:b/>
          <w:color w:val="0F243E"/>
          <w:sz w:val="22"/>
        </w:rPr>
        <w:t>View 1: Resource Catalog with Live Availability (vw_resource_catalog)</w:t>
      </w:r>
    </w:p>
    <w:p>
      <w:pPr>
        <w:spacing w:before="80" w:after="120" w:line="240" w:lineRule="auto"/>
        <w:ind w:left="288" w:right="288"/>
        <w:pBdr>
          <w:left w:val="single" w:sz="18" w:space="8" w:color="0D9488"/>
        </w:pBdr>
        <w:shd w:val="clear" w:color="auto" w:fill="F8FAFC"/>
      </w:pPr>
      <w:r>
        <w:rPr>
          <w:rFonts w:ascii="Courier New" w:hAnsi="Courier New"/>
          <w:color w:val="1E293B"/>
          <w:sz w:val="19"/>
        </w:rPr>
        <w:t>CREATE OR REPLACE VIEW vw_resource_catalog AS</w:t>
        <w:br/>
        <w:t>SELECT r.id, r.title, r.category, d.name AS department_name, r.location,</w:t>
        <w:br/>
        <w:t xml:space="preserve">       COUNT(rc.id) AS total_copies,</w:t>
        <w:br/>
        <w:t xml:space="preserve">       SUM(CASE WHEN rc.status = 'AVAILABLE' THEN 1 ELSE 0 END) AS available_copies,</w:t>
        <w:br/>
        <w:t xml:space="preserve">       SUM(CASE WHEN rc.status = 'ON_LOAN' THEN 1 ELSE 0 END) AS loaned_copies</w:t>
        <w:br/>
        <w:t>FROM resources r</w:t>
        <w:br/>
        <w:t>JOIN departments d ON r.department_id = d.id</w:t>
        <w:br/>
        <w:t>LEFT JOIN resource_copies rc ON r.id = rc.resource_id</w:t>
        <w:br/>
        <w:t>GROUP BY r.id, r.title, r.category, d.name, r.location;</w:t>
      </w:r>
    </w:p>
    <w:p>
      <w:pPr>
        <w:keepNext/>
        <w:spacing w:before="160" w:after="60"/>
        <w:jc w:val="left"/>
      </w:pPr>
      <w:r>
        <w:rPr>
          <w:rFonts w:ascii="Times New Roman" w:hAnsi="Times New Roman"/>
          <w:b/>
          <w:color w:val="0F243E"/>
          <w:sz w:val="22"/>
        </w:rPr>
        <w:t>View 2: Unmet Demand Summary View (vw_unmet_demand_summary)</w:t>
      </w:r>
    </w:p>
    <w:p>
      <w:pPr>
        <w:spacing w:before="80" w:after="120" w:line="240" w:lineRule="auto"/>
        <w:ind w:left="288" w:right="288"/>
        <w:pBdr>
          <w:left w:val="single" w:sz="18" w:space="8" w:color="0D9488"/>
        </w:pBdr>
        <w:shd w:val="clear" w:color="auto" w:fill="F8FAFC"/>
      </w:pPr>
      <w:r>
        <w:rPr>
          <w:rFonts w:ascii="Courier New" w:hAnsi="Courier New"/>
          <w:color w:val="1E293B"/>
          <w:sz w:val="19"/>
        </w:rPr>
        <w:t>CREATE OR REPLACE VIEW vw_unmet_demand_summary AS</w:t>
        <w:br/>
        <w:t>SELECT r.id AS resource_id, r.title, r.category, d.name AS department_name,</w:t>
        <w:br/>
        <w:t xml:space="preserve">       COUNT(dr.id) AS total_requests,</w:t>
        <w:br/>
        <w:t xml:space="preserve">       SUM(CASE WHEN dr.status = 'UNFULFILLED' THEN 1 ELSE 0 END) AS unfulfilled_requests,</w:t>
        <w:br/>
        <w:t xml:space="preserve">       SUM(CASE WHEN dr.status = 'FULFILLED' THEN 1 ELSE 0 END) AS fulfilled_requests</w:t>
        <w:br/>
        <w:t>FROM resources r</w:t>
        <w:br/>
        <w:t>JOIN departments d ON r.department_id = d.id</w:t>
        <w:br/>
        <w:t>LEFT JOIN demand_requests dr ON r.id = dr.resource_id</w:t>
        <w:br/>
        <w:t>GROUP BY r.id, r.title, r.category, d.name;</w:t>
      </w:r>
    </w:p>
    <w:p>
      <w:pPr>
        <w:keepNext/>
        <w:spacing w:before="220" w:after="80"/>
        <w:jc w:val="left"/>
      </w:pPr>
      <w:r>
        <w:rPr>
          <w:rFonts w:ascii="Times New Roman" w:hAnsi="Times New Roman"/>
          <w:b/>
          <w:color w:val="17365D"/>
          <w:sz w:val="24"/>
        </w:rPr>
        <w:t>4.3 Stored Procedure Implementation</w:t>
      </w:r>
    </w:p>
    <w:p>
      <w:pPr>
        <w:spacing w:before="0" w:after="80" w:line="276" w:lineRule="auto"/>
        <w:jc w:val="both"/>
      </w:pPr>
      <w:r>
        <w:rPr>
          <w:rFonts w:ascii="Times New Roman" w:hAnsi="Times New Roman"/>
          <w:sz w:val="24"/>
        </w:rPr>
        <w:t>The stored procedure `sp_process_loan_return` encapsulates loan return processing, copy status restoration, and condition logging within a single atomic database execution unit:</w:t>
      </w:r>
    </w:p>
    <w:p>
      <w:pPr>
        <w:spacing w:before="80" w:after="120" w:line="240" w:lineRule="auto"/>
        <w:ind w:left="288" w:right="288"/>
        <w:pBdr>
          <w:left w:val="single" w:sz="18" w:space="8" w:color="0D9488"/>
        </w:pBdr>
        <w:shd w:val="clear" w:color="auto" w:fill="F8FAFC"/>
      </w:pPr>
      <w:r>
        <w:rPr>
          <w:rFonts w:ascii="Courier New" w:hAnsi="Courier New"/>
          <w:color w:val="1E293B"/>
          <w:sz w:val="19"/>
        </w:rPr>
        <w:t>DELIMITER //</w:t>
        <w:br/>
        <w:t>CREATE PROCEDURE sp_process_loan_return(</w:t>
        <w:br/>
        <w:t xml:space="preserve">    IN p_loan_id INT,</w:t>
        <w:br/>
        <w:t xml:space="preserve">    IN p_condition_notes TEXT,</w:t>
        <w:br/>
        <w:t xml:space="preserve">    IN p_new_condition VARCHAR(20)</w:t>
        <w:br/>
        <w:t>)</w:t>
        <w:br/>
        <w:t>BEGIN</w:t>
        <w:br/>
        <w:t xml:space="preserve">    DECLARE v_copy_id INT;</w:t>
        <w:br/>
        <w:t xml:space="preserve">    START TRANSACTION;</w:t>
        <w:br/>
        <w:t xml:space="preserve">    SELECT copy_id INTO v_copy_id FROM loans WHERE id = p_loan_id FOR UPDATE;</w:t>
        <w:br/>
        <w:t xml:space="preserve">    UPDATE loans SET status = 'RETURNED', returned_at = NOW(), return_notes = p_condition_notes</w:t>
        <w:br/>
        <w:t xml:space="preserve">    WHERE id = p_loan_id;</w:t>
        <w:br/>
        <w:t xml:space="preserve">    IF p_new_condition = 'DAMAGED' THEN</w:t>
        <w:br/>
        <w:t xml:space="preserve">        UPDATE resource_copies SET status = 'MAINTENANCE', `condition` = 'DAMAGED'</w:t>
        <w:br/>
        <w:t xml:space="preserve">        WHERE id = v_copy_id;</w:t>
        <w:br/>
        <w:t xml:space="preserve">    ELSE</w:t>
        <w:br/>
        <w:t xml:space="preserve">        UPDATE resource_copies SET status = 'AVAILABLE', `condition` = p_new_condition</w:t>
        <w:br/>
        <w:t xml:space="preserve">        WHERE id = v_copy_id;</w:t>
        <w:br/>
        <w:t xml:space="preserve">    END IF;</w:t>
        <w:br/>
        <w:t xml:space="preserve">    COMMIT;</w:t>
        <w:br/>
        <w:t>END //</w:t>
        <w:br/>
        <w:t>DELIMITER ;</w:t>
      </w:r>
    </w:p>
    <w:p>
      <w:pPr>
        <w:keepNext/>
        <w:spacing w:before="220" w:after="80"/>
        <w:jc w:val="left"/>
      </w:pPr>
      <w:r>
        <w:rPr>
          <w:rFonts w:ascii="Times New Roman" w:hAnsi="Times New Roman"/>
          <w:b/>
          <w:color w:val="17365D"/>
          <w:sz w:val="24"/>
        </w:rPr>
        <w:t>4.4 Automated Database Triggers</w:t>
      </w:r>
    </w:p>
    <w:p>
      <w:pPr>
        <w:spacing w:before="0" w:after="80" w:line="276" w:lineRule="auto"/>
        <w:jc w:val="both"/>
      </w:pPr>
      <w:r>
        <w:rPr>
          <w:rFonts w:ascii="Times New Roman" w:hAnsi="Times New Roman"/>
          <w:sz w:val="24"/>
        </w:rPr>
        <w:t>To guarantee data consistency regardless of client origin, two triggers automatically synchronize physical copy statuses when loan records are inserted or completed:</w:t>
      </w:r>
    </w:p>
    <w:p>
      <w:pPr>
        <w:spacing w:before="80" w:after="120" w:line="240" w:lineRule="auto"/>
        <w:ind w:left="288" w:right="288"/>
        <w:pBdr>
          <w:left w:val="single" w:sz="18" w:space="8" w:color="0D9488"/>
        </w:pBdr>
        <w:shd w:val="clear" w:color="auto" w:fill="F8FAFC"/>
      </w:pPr>
      <w:r>
        <w:rPr>
          <w:rFonts w:ascii="Courier New" w:hAnsi="Courier New"/>
          <w:color w:val="1E293B"/>
          <w:sz w:val="19"/>
        </w:rPr>
        <w:t>-- Trigger 1: Mark copy as ON_LOAN upon loan insertion</w:t>
        <w:br/>
        <w:t>CREATE TRIGGER trg_after_loan_insert_update_copy_status</w:t>
        <w:br/>
        <w:t>AFTER INSERT ON loans FOR EACH ROW</w:t>
        <w:br/>
        <w:t>BEGIN</w:t>
        <w:br/>
        <w:t xml:space="preserve">    UPDATE resource_copies SET status = 'ON_LOAN' WHERE id = NEW.copy_id;</w:t>
        <w:br/>
        <w:t>END;</w:t>
        <w:br/>
        <w:br/>
        <w:t>-- Trigger 2: Mark copy as AVAILABLE upon loan return</w:t>
        <w:br/>
        <w:t>CREATE TRIGGER trg_after_loan_return_update_copy_status</w:t>
        <w:br/>
        <w:t>AFTER UPDATE ON loans FOR EACH ROW</w:t>
        <w:br/>
        <w:t>BEGIN</w:t>
        <w:br/>
        <w:t xml:space="preserve">    IF OLD.status != 'RETURNED' AND NEW.status = 'RETURNED' THEN</w:t>
        <w:br/>
        <w:t xml:space="preserve">        UPDATE resource_copies SET status = 'AVAILABLE'</w:t>
        <w:br/>
        <w:t xml:space="preserve">        WHERE id = NEW.copy_id AND status != 'MAINTENANCE';</w:t>
        <w:br/>
        <w:t xml:space="preserve">    END IF;</w:t>
        <w:br/>
        <w:t>END;</w:t>
      </w:r>
    </w:p>
    <w:p>
      <w:pPr>
        <w:keepNext/>
        <w:spacing w:before="220" w:after="80"/>
        <w:jc w:val="left"/>
      </w:pPr>
      <w:r>
        <w:rPr>
          <w:rFonts w:ascii="Times New Roman" w:hAnsi="Times New Roman"/>
          <w:b/>
          <w:color w:val="17365D"/>
          <w:sz w:val="24"/>
        </w:rPr>
        <w:t>4.5 ACID Transactions, Row-Level Locking &amp; Concurrency Control</w:t>
      </w:r>
    </w:p>
    <w:p>
      <w:pPr>
        <w:spacing w:before="0" w:after="80" w:line="276" w:lineRule="auto"/>
        <w:jc w:val="both"/>
      </w:pPr>
      <w:r>
        <w:rPr>
          <w:rFonts w:ascii="Times New Roman" w:hAnsi="Times New Roman"/>
          <w:sz w:val="24"/>
        </w:rPr>
        <w:t>A critical challenge in academic resource sharing is eliminating race conditions during peak registration periods. CRISS enforces pessimistic row-level locking (`SELECT ... FOR UPDATE`) in Python Flask services:</w:t>
      </w:r>
    </w:p>
    <w:p>
      <w:pPr>
        <w:spacing w:before="80" w:after="120" w:line="240" w:lineRule="auto"/>
        <w:ind w:left="288" w:right="288"/>
        <w:pBdr>
          <w:left w:val="single" w:sz="18" w:space="8" w:color="0D9488"/>
        </w:pBdr>
        <w:shd w:val="clear" w:color="auto" w:fill="F8FAFC"/>
      </w:pPr>
      <w:r>
        <w:rPr>
          <w:rFonts w:ascii="Courier New" w:hAnsi="Courier New"/>
          <w:color w:val="1E293B"/>
          <w:sz w:val="19"/>
        </w:rPr>
        <w:t># Python Transactional Reservation Booking with Pessimistic Locking</w:t>
        <w:br/>
        <w:t>conn = get_db_connection()</w:t>
        <w:br/>
        <w:t>try:</w:t>
        <w:br/>
        <w:t xml:space="preserve">    conn.start_transaction()</w:t>
        <w:br/>
        <w:t xml:space="preserve">    cursor = conn.cursor(dictionary=True)</w:t>
        <w:br/>
        <w:t xml:space="preserve">    # Pessimistically lock candidate copy</w:t>
        <w:br/>
        <w:t xml:space="preserve">    cursor.execute('''</w:t>
        <w:br/>
        <w:t xml:space="preserve">        SELECT id FROM resource_copies</w:t>
        <w:br/>
        <w:t xml:space="preserve">        WHERE resource_id = %s AND status = 'AVAILABLE'</w:t>
        <w:br/>
        <w:t xml:space="preserve">        LIMIT 1 FOR UPDATE;</w:t>
        <w:br/>
        <w:t xml:space="preserve">    ''', (resource_id,))</w:t>
        <w:br/>
        <w:t xml:space="preserve">    copy = cursor.fetchone()</w:t>
        <w:br/>
        <w:t xml:space="preserve">    if not copy:</w:t>
        <w:br/>
        <w:t xml:space="preserve">        conn.rollback()</w:t>
        <w:br/>
        <w:t xml:space="preserve">        return {'error': 'No available copies for reservation'}</w:t>
        <w:br/>
        <w:t xml:space="preserve">    # Check for overlapping reservation schedule windows</w:t>
        <w:br/>
        <w:t xml:space="preserve">    cursor.execute('''</w:t>
        <w:br/>
        <w:t xml:space="preserve">        SELECT id FROM reservations</w:t>
        <w:br/>
        <w:t xml:space="preserve">        WHERE copy_id = %s AND status = 'CONFIRMED'</w:t>
        <w:br/>
        <w:t xml:space="preserve">          AND NOT (end_date &lt;= %s OR start_date &gt;= %s);</w:t>
        <w:br/>
        <w:t xml:space="preserve">    ''', (copy['id'], start_date, end_date))</w:t>
        <w:br/>
        <w:t xml:space="preserve">    if cursor.fetchone():</w:t>
        <w:br/>
        <w:t xml:space="preserve">        conn.rollback()</w:t>
        <w:br/>
        <w:t xml:space="preserve">        return {'error': 'Schedule conflict detected'}</w:t>
        <w:br/>
        <w:t xml:space="preserve">    # Book reservation atomically</w:t>
        <w:br/>
        <w:t xml:space="preserve">    cursor.execute('''</w:t>
        <w:br/>
        <w:t xml:space="preserve">        INSERT INTO reservations (user_id, copy_id, start_date, end_date, status)</w:t>
        <w:br/>
        <w:t xml:space="preserve">        VALUES (%s, %s, %s, %s, 'CONFIRMED');</w:t>
        <w:br/>
        <w:t xml:space="preserve">    ''', (user_id, copy['id'], start_date, end_date))</w:t>
        <w:br/>
        <w:t xml:space="preserve">    conn.commit()</w:t>
        <w:br/>
        <w:t>except Exception as e:</w:t>
        <w:br/>
        <w:t xml:space="preserve">    conn.rollback()</w:t>
        <w:br/>
        <w:t xml:space="preserve">    raise e</w:t>
      </w:r>
    </w:p>
    <w:p>
      <w:pPr>
        <w:keepNext/>
        <w:spacing w:before="220" w:after="80"/>
        <w:jc w:val="left"/>
      </w:pPr>
      <w:r>
        <w:rPr>
          <w:rFonts w:ascii="Times New Roman" w:hAnsi="Times New Roman"/>
          <w:b/>
          <w:color w:val="17365D"/>
          <w:sz w:val="24"/>
        </w:rPr>
        <w:t>4.6 Backend Application Services &amp; Business Logic</w:t>
      </w:r>
    </w:p>
    <w:p>
      <w:pPr>
        <w:spacing w:before="0" w:after="80" w:line="276" w:lineRule="auto"/>
        <w:jc w:val="both"/>
      </w:pPr>
      <w:r>
        <w:rPr>
          <w:rFonts w:ascii="Times New Roman" w:hAnsi="Times New Roman"/>
          <w:sz w:val="24"/>
        </w:rPr>
        <w:t>Application logic is cleanly modularized into domain services. `recommendation_service.py` executes context-aware alternative matching, evaluating shared categories, department affinities, and live copy availability. Similarly, `demand_engine.py` aggregates data directly from MySQL views to calculate real-time MCDA review scores.</w:t>
      </w:r>
    </w:p>
    <w:p>
      <w:pPr>
        <w:keepNext/>
        <w:spacing w:before="220" w:after="80"/>
        <w:jc w:val="left"/>
      </w:pPr>
      <w:r>
        <w:rPr>
          <w:rFonts w:ascii="Times New Roman" w:hAnsi="Times New Roman"/>
          <w:b/>
          <w:color w:val="17365D"/>
          <w:sz w:val="24"/>
        </w:rPr>
        <w:t>4.7 Security Architecture, Session Management &amp; Input Sanitization</w:t>
      </w:r>
    </w:p>
    <w:p>
      <w:pPr>
        <w:spacing w:before="0" w:after="80" w:line="276" w:lineRule="auto"/>
        <w:jc w:val="both"/>
      </w:pPr>
      <w:r>
        <w:rPr>
          <w:rFonts w:ascii="Times New Roman" w:hAnsi="Times New Roman"/>
          <w:sz w:val="24"/>
        </w:rPr>
        <w:t>CRISS implements enterprise security defenses: (1) PBKDF2-SHA256 password salting prevents credential compromise; (2) 100% of database interactions utilize parameterized queries, entirely preventing SQL injection attacks; (3) Cryptographic session tokens and CSRF hidden tokens defend against cross-site request forgery; and (4) Server-side Python decorators (`@login_required`, `@admin_required`) validate role permissions on every request.</w:t>
      </w:r>
    </w:p>
    <w:p>
      <w:pPr>
        <w:keepNext/>
        <w:pageBreakBefore/>
        <w:spacing w:before="320" w:after="160"/>
        <w:jc w:val="left"/>
      </w:pPr>
      <w:r>
        <w:rPr>
          <w:rFonts w:ascii="Times New Roman" w:hAnsi="Times New Roman"/>
          <w:b/>
          <w:color w:val="000000"/>
          <w:sz w:val="28"/>
        </w:rPr>
        <w:t>5. RESULTS / OUTPUT</w:t>
      </w:r>
    </w:p>
    <w:p>
      <w:pPr>
        <w:keepNext/>
        <w:spacing w:before="220" w:after="80"/>
        <w:jc w:val="left"/>
      </w:pPr>
      <w:r>
        <w:rPr>
          <w:rFonts w:ascii="Times New Roman" w:hAnsi="Times New Roman"/>
          <w:b/>
          <w:color w:val="17365D"/>
          <w:sz w:val="24"/>
        </w:rPr>
        <w:t>5.1 End-to-End System Workflow Walkthroughs</w:t>
      </w:r>
    </w:p>
    <w:p>
      <w:pPr>
        <w:spacing w:before="0" w:after="80" w:line="276" w:lineRule="auto"/>
        <w:jc w:val="both"/>
      </w:pPr>
      <w:r>
        <w:rPr>
          <w:rFonts w:ascii="Times New Roman" w:hAnsi="Times New Roman"/>
          <w:sz w:val="24"/>
        </w:rPr>
        <w:t>The system was rigorously evaluated across end-to-end operational workflows simulating active semester operations:</w:t>
      </w:r>
    </w:p>
    <w:p>
      <w:pPr>
        <w:pStyle w:val="ListBullet"/>
        <w:spacing w:before="0" w:after="60" w:line="276" w:lineRule="auto"/>
        <w:jc w:val="both"/>
      </w:pPr>
      <w:r>
        <w:rPr>
          <w:rFonts w:ascii="Times New Roman" w:hAnsi="Times New Roman"/>
          <w:b/>
          <w:sz w:val="23"/>
        </w:rPr>
        <w:t xml:space="preserve">1. Resource Discovery &amp; Alternative Matching: </w:t>
      </w:r>
      <w:r>
        <w:rPr>
          <w:rFonts w:ascii="Times New Roman" w:hAnsi="Times New Roman"/>
          <w:sz w:val="23"/>
        </w:rPr>
        <w:t>Students search for required course materials using dynamic category, department, and keyword filters. If an asset is out of stock, the system immediately presents functionally equivalent substitutes with real-time availability badges.</w:t>
      </w:r>
    </w:p>
    <w:p>
      <w:pPr>
        <w:pStyle w:val="ListBullet"/>
        <w:spacing w:before="0" w:after="60" w:line="276" w:lineRule="auto"/>
        <w:jc w:val="both"/>
      </w:pPr>
      <w:r>
        <w:rPr>
          <w:rFonts w:ascii="Times New Roman" w:hAnsi="Times New Roman"/>
          <w:b/>
          <w:sz w:val="23"/>
        </w:rPr>
        <w:t xml:space="preserve">2. Conflict-Free Reservation Scheduling: </w:t>
      </w:r>
      <w:r>
        <w:rPr>
          <w:rFonts w:ascii="Times New Roman" w:hAnsi="Times New Roman"/>
          <w:sz w:val="23"/>
        </w:rPr>
        <w:t>Users select reservation start and end dates. The backend executes a pessimistic row lock, verifies zero overlapping booking intervals, and generates an atomic reservation voucher.</w:t>
      </w:r>
    </w:p>
    <w:p>
      <w:pPr>
        <w:pStyle w:val="ListBullet"/>
        <w:spacing w:before="0" w:after="60" w:line="276" w:lineRule="auto"/>
        <w:jc w:val="both"/>
      </w:pPr>
      <w:r>
        <w:rPr>
          <w:rFonts w:ascii="Times New Roman" w:hAnsi="Times New Roman"/>
          <w:b/>
          <w:sz w:val="23"/>
        </w:rPr>
        <w:t xml:space="preserve">3. Unfulfilled Demand Logging: </w:t>
      </w:r>
      <w:r>
        <w:rPr>
          <w:rFonts w:ascii="Times New Roman" w:hAnsi="Times New Roman"/>
          <w:sz w:val="23"/>
        </w:rPr>
        <w:t>When zero institutional or peer copies exist, students register an unfulfilled demand request. The demand engine tallies this request, updating the asset's procurement priority score.</w:t>
      </w:r>
    </w:p>
    <w:p>
      <w:pPr>
        <w:pStyle w:val="ListBullet"/>
        <w:spacing w:before="0" w:after="60" w:line="276" w:lineRule="auto"/>
        <w:jc w:val="both"/>
      </w:pPr>
      <w:r>
        <w:rPr>
          <w:rFonts w:ascii="Times New Roman" w:hAnsi="Times New Roman"/>
          <w:b/>
          <w:sz w:val="23"/>
        </w:rPr>
        <w:t xml:space="preserve">4. Student Peer-to-Peer Lending: </w:t>
      </w:r>
      <w:r>
        <w:rPr>
          <w:rFonts w:ascii="Times New Roman" w:hAnsi="Times New Roman"/>
          <w:sz w:val="23"/>
        </w:rPr>
        <w:t>Students offer idle course materials (e.g., graphing calculators, reference texts) for peer borrowing. Contact numbers and personal identifiers are completely shielded; communication occurs strictly through policy-governed system requests.</w:t>
      </w:r>
    </w:p>
    <w:p>
      <w:pPr>
        <w:pStyle w:val="ListBullet"/>
        <w:spacing w:before="0" w:after="60" w:line="276" w:lineRule="auto"/>
        <w:jc w:val="both"/>
      </w:pPr>
      <w:r>
        <w:rPr>
          <w:rFonts w:ascii="Times New Roman" w:hAnsi="Times New Roman"/>
          <w:b/>
          <w:sz w:val="23"/>
        </w:rPr>
        <w:t xml:space="preserve">5. Loan Circulation &amp; Maintenance: </w:t>
      </w:r>
      <w:r>
        <w:rPr>
          <w:rFonts w:ascii="Times New Roman" w:hAnsi="Times New Roman"/>
          <w:sz w:val="23"/>
        </w:rPr>
        <w:t>Administrators scan or verify student reservation vouchers, dispatch physical copies, and process returns. If an item is returned damaged, it is routed immediately to the maintenance quarantine workflow.</w:t>
      </w:r>
    </w:p>
    <w:p>
      <w:pPr>
        <w:pStyle w:val="ListBullet"/>
        <w:spacing w:before="0" w:after="60" w:line="276" w:lineRule="auto"/>
        <w:jc w:val="both"/>
      </w:pPr>
      <w:r>
        <w:rPr>
          <w:rFonts w:ascii="Times New Roman" w:hAnsi="Times New Roman"/>
          <w:b/>
          <w:sz w:val="23"/>
        </w:rPr>
        <w:t xml:space="preserve">6. Demand Analytics &amp; Reporting: </w:t>
      </w:r>
      <w:r>
        <w:rPr>
          <w:rFonts w:ascii="Times New Roman" w:hAnsi="Times New Roman"/>
          <w:sz w:val="23"/>
        </w:rPr>
        <w:t>Administrators access dynamic analytics visualizations (powered by Chart.js) depicting category utilization, overdue loan ratios, and MCDA procurement priority rankings.</w:t>
      </w:r>
    </w:p>
    <w:p>
      <w:pPr>
        <w:keepNext/>
        <w:spacing w:before="220" w:after="80"/>
        <w:jc w:val="left"/>
      </w:pPr>
      <w:r>
        <w:rPr>
          <w:rFonts w:ascii="Times New Roman" w:hAnsi="Times New Roman"/>
          <w:b/>
          <w:color w:val="17365D"/>
          <w:sz w:val="24"/>
        </w:rPr>
        <w:t>5.2 System Interface Visual Output</w:t>
      </w:r>
    </w:p>
    <w:p>
      <w:pPr>
        <w:spacing w:before="0" w:after="80" w:line="276" w:lineRule="auto"/>
        <w:jc w:val="both"/>
      </w:pPr>
      <w:r>
        <w:rPr>
          <w:rFonts w:ascii="Times New Roman" w:hAnsi="Times New Roman"/>
          <w:sz w:val="24"/>
        </w:rPr>
        <w:t>The user interface was built to provide high-clarity academic dashboards. The following ten structured figure callouts define the verified visual screens across user and administrative workflows:</w:t>
      </w:r>
    </w:p>
    <w:tbl>
      <w:tblPr>
        <w:tblW w:type="auto" w:w="0"/>
        <w:jc w:val="center"/>
        <w:tblLayout w:type="fixed"/>
        <w:tblLook w:firstColumn="1" w:firstRow="1" w:lastColumn="0" w:lastRow="0" w:noHBand="0" w:noVBand="1" w:val="04A0"/>
      </w:tblPr>
      <w:tblGrid>
        <w:gridCol w:w="9792"/>
      </w:tblGrid>
      <w:tr>
        <w:tc>
          <w:tcPr>
            <w:tcW w:type="dxa" w:w="10080"/>
            <w:tcMar>
              <w:top w:w="120" w:type="dxa"/>
              <w:bottom w:w="120" w:type="dxa"/>
              <w:left w:w="180" w:type="dxa"/>
              <w:right w:w="180" w:type="dxa"/>
            </w:tcMar>
            <w:shd w:val="clear" w:color="auto" w:fill="F0F4F8"/>
            <w:tcBorders>
              <w:top w:val="single" w:sz="12" w:space="0" w:color="17365D"/>
              <w:bottom w:val="single" w:sz="12" w:space="0" w:color="17365D"/>
              <w:left w:val="single" w:sz="12" w:space="0" w:color="17365D"/>
              <w:right w:val="single" w:sz="12" w:space="0" w:color="17365D"/>
            </w:tcBorders>
          </w:tcPr>
          <w:p>
            <w:pPr>
              <w:spacing w:before="0" w:after="40"/>
            </w:pPr>
            <w:r>
              <w:rPr>
                <w:rFonts w:ascii="Times New Roman" w:hAnsi="Times New Roman"/>
                <w:b/>
                <w:color w:val="17365D"/>
                <w:sz w:val="21"/>
              </w:rPr>
              <w:t>[Figure 5.1] UNIFIED ACADEMIC RESOURCE CATALOG &amp; MULTI-ATTRIBUTE SEARCH</w:t>
              <w:br/>
            </w:r>
            <w:r>
              <w:rPr>
                <w:rFonts w:ascii="Courier New" w:hAnsi="Courier New"/>
                <w:b/>
                <w:color w:val="0D9488"/>
                <w:sz w:val="18"/>
              </w:rPr>
              <w:t>System Endpoint: /resources   |   User Context: Student &amp; Faculty</w:t>
              <w:br/>
              <w:br/>
            </w:r>
            <w:r>
              <w:rPr>
                <w:rFonts w:ascii="Times New Roman" w:hAnsi="Times New Roman"/>
                <w:i/>
                <w:color w:val="334155"/>
                <w:sz w:val="20"/>
              </w:rPr>
              <w:t>Interface Architecture &amp; Operational Elements:</w:t>
              <w:br/>
              <w:t>Features responsive search bar, multi-category filter dropdowns (Textbooks, Lab Kits, Calculators, Electronics), department badges, real-time availability counters, and quick 'Reserve' / 'View Details' action triggers.</w:t>
            </w:r>
          </w:p>
        </w:tc>
      </w:tr>
    </w:tbl>
    <w:p>
      <w:pPr>
        <w:spacing w:before="40" w:after="120"/>
      </w:pPr>
    </w:p>
    <w:tbl>
      <w:tblPr>
        <w:tblW w:type="auto" w:w="0"/>
        <w:jc w:val="center"/>
        <w:tblLayout w:type="fixed"/>
        <w:tblLook w:firstColumn="1" w:firstRow="1" w:lastColumn="0" w:lastRow="0" w:noHBand="0" w:noVBand="1" w:val="04A0"/>
      </w:tblPr>
      <w:tblGrid>
        <w:gridCol w:w="9792"/>
      </w:tblGrid>
      <w:tr>
        <w:tc>
          <w:tcPr>
            <w:tcW w:type="dxa" w:w="10080"/>
            <w:tcMar>
              <w:top w:w="120" w:type="dxa"/>
              <w:bottom w:w="120" w:type="dxa"/>
              <w:left w:w="180" w:type="dxa"/>
              <w:right w:w="180" w:type="dxa"/>
            </w:tcMar>
            <w:shd w:val="clear" w:color="auto" w:fill="F0F4F8"/>
            <w:tcBorders>
              <w:top w:val="single" w:sz="12" w:space="0" w:color="17365D"/>
              <w:bottom w:val="single" w:sz="12" w:space="0" w:color="17365D"/>
              <w:left w:val="single" w:sz="12" w:space="0" w:color="17365D"/>
              <w:right w:val="single" w:sz="12" w:space="0" w:color="17365D"/>
            </w:tcBorders>
          </w:tcPr>
          <w:p>
            <w:pPr>
              <w:spacing w:before="0" w:after="40"/>
            </w:pPr>
            <w:r>
              <w:rPr>
                <w:rFonts w:ascii="Times New Roman" w:hAnsi="Times New Roman"/>
                <w:b/>
                <w:color w:val="17365D"/>
                <w:sz w:val="21"/>
              </w:rPr>
              <w:t>[Figure 5.2] RESOURCE DETAILS WITH INTELLIGENT ALTERNATIVE RECOMMENDATIONS</w:t>
              <w:br/>
            </w:r>
            <w:r>
              <w:rPr>
                <w:rFonts w:ascii="Courier New" w:hAnsi="Courier New"/>
                <w:b/>
                <w:color w:val="0D9488"/>
                <w:sz w:val="18"/>
              </w:rPr>
              <w:t>System Endpoint: /resources/&lt;id&gt;   |   User Context: Student &amp; Faculty</w:t>
              <w:br/>
              <w:br/>
            </w:r>
            <w:r>
              <w:rPr>
                <w:rFonts w:ascii="Times New Roman" w:hAnsi="Times New Roman"/>
                <w:i/>
                <w:color w:val="334155"/>
                <w:sz w:val="20"/>
              </w:rPr>
              <w:t>Interface Architecture &amp; Operational Elements:</w:t>
              <w:br/>
              <w:t>Displays technical specifications, borrowing rules, copy availability breakdown, and an intelligent recommendation carousel presenting functionally equivalent substitutes with direct reservation links.</w:t>
            </w:r>
          </w:p>
        </w:tc>
      </w:tr>
    </w:tbl>
    <w:p>
      <w:pPr>
        <w:spacing w:before="40" w:after="120"/>
      </w:pPr>
    </w:p>
    <w:tbl>
      <w:tblPr>
        <w:tblW w:type="auto" w:w="0"/>
        <w:jc w:val="center"/>
        <w:tblLayout w:type="fixed"/>
        <w:tblLook w:firstColumn="1" w:firstRow="1" w:lastColumn="0" w:lastRow="0" w:noHBand="0" w:noVBand="1" w:val="04A0"/>
      </w:tblPr>
      <w:tblGrid>
        <w:gridCol w:w="9792"/>
      </w:tblGrid>
      <w:tr>
        <w:tc>
          <w:tcPr>
            <w:tcW w:type="dxa" w:w="10080"/>
            <w:tcMar>
              <w:top w:w="120" w:type="dxa"/>
              <w:bottom w:w="120" w:type="dxa"/>
              <w:left w:w="180" w:type="dxa"/>
              <w:right w:w="180" w:type="dxa"/>
            </w:tcMar>
            <w:shd w:val="clear" w:color="auto" w:fill="F0F4F8"/>
            <w:tcBorders>
              <w:top w:val="single" w:sz="12" w:space="0" w:color="17365D"/>
              <w:bottom w:val="single" w:sz="12" w:space="0" w:color="17365D"/>
              <w:left w:val="single" w:sz="12" w:space="0" w:color="17365D"/>
              <w:right w:val="single" w:sz="12" w:space="0" w:color="17365D"/>
            </w:tcBorders>
          </w:tcPr>
          <w:p>
            <w:pPr>
              <w:spacing w:before="0" w:after="40"/>
            </w:pPr>
            <w:r>
              <w:rPr>
                <w:rFonts w:ascii="Times New Roman" w:hAnsi="Times New Roman"/>
                <w:b/>
                <w:color w:val="17365D"/>
                <w:sz w:val="21"/>
              </w:rPr>
              <w:t>[Figure 5.3] CONFLICT-FREE RESERVATION BOOKING MODAL &amp; SCHEDULE CONFIRMATION</w:t>
              <w:br/>
            </w:r>
            <w:r>
              <w:rPr>
                <w:rFonts w:ascii="Courier New" w:hAnsi="Courier New"/>
                <w:b/>
                <w:color w:val="0D9488"/>
                <w:sz w:val="18"/>
              </w:rPr>
              <w:t>System Endpoint: /reservations/new   |   User Context: Student</w:t>
              <w:br/>
              <w:br/>
            </w:r>
            <w:r>
              <w:rPr>
                <w:rFonts w:ascii="Times New Roman" w:hAnsi="Times New Roman"/>
                <w:i/>
                <w:color w:val="334155"/>
                <w:sz w:val="20"/>
              </w:rPr>
              <w:t>Interface Architecture &amp; Operational Elements:</w:t>
              <w:br/>
              <w:t>Interactive date-picker modal enforcing advance booking rules, displaying schedule conflict validations, and generating an atomic confirmation voucher with pickup instructions.</w:t>
            </w:r>
          </w:p>
        </w:tc>
      </w:tr>
    </w:tbl>
    <w:p>
      <w:pPr>
        <w:spacing w:before="40" w:after="120"/>
      </w:pPr>
    </w:p>
    <w:tbl>
      <w:tblPr>
        <w:tblW w:type="auto" w:w="0"/>
        <w:jc w:val="center"/>
        <w:tblLayout w:type="fixed"/>
        <w:tblLook w:firstColumn="1" w:firstRow="1" w:lastColumn="0" w:lastRow="0" w:noHBand="0" w:noVBand="1" w:val="04A0"/>
      </w:tblPr>
      <w:tblGrid>
        <w:gridCol w:w="9792"/>
      </w:tblGrid>
      <w:tr>
        <w:tc>
          <w:tcPr>
            <w:tcW w:type="dxa" w:w="10080"/>
            <w:tcMar>
              <w:top w:w="120" w:type="dxa"/>
              <w:bottom w:w="120" w:type="dxa"/>
              <w:left w:w="180" w:type="dxa"/>
              <w:right w:w="180" w:type="dxa"/>
            </w:tcMar>
            <w:shd w:val="clear" w:color="auto" w:fill="F0F4F8"/>
            <w:tcBorders>
              <w:top w:val="single" w:sz="12" w:space="0" w:color="17365D"/>
              <w:bottom w:val="single" w:sz="12" w:space="0" w:color="17365D"/>
              <w:left w:val="single" w:sz="12" w:space="0" w:color="17365D"/>
              <w:right w:val="single" w:sz="12" w:space="0" w:color="17365D"/>
            </w:tcBorders>
          </w:tcPr>
          <w:p>
            <w:pPr>
              <w:spacing w:before="0" w:after="40"/>
            </w:pPr>
            <w:r>
              <w:rPr>
                <w:rFonts w:ascii="Times New Roman" w:hAnsi="Times New Roman"/>
                <w:b/>
                <w:color w:val="17365D"/>
                <w:sz w:val="21"/>
              </w:rPr>
              <w:t>[Figure 5.4] UNFULFILLED RESOURCE REQUEST SUBMISSION MODAL</w:t>
              <w:br/>
            </w:r>
            <w:r>
              <w:rPr>
                <w:rFonts w:ascii="Courier New" w:hAnsi="Courier New"/>
                <w:b/>
                <w:color w:val="0D9488"/>
                <w:sz w:val="18"/>
              </w:rPr>
              <w:t>System Endpoint: /demand/request   |   User Context: Student</w:t>
              <w:br/>
              <w:br/>
            </w:r>
            <w:r>
              <w:rPr>
                <w:rFonts w:ascii="Times New Roman" w:hAnsi="Times New Roman"/>
                <w:i/>
                <w:color w:val="334155"/>
                <w:sz w:val="20"/>
              </w:rPr>
              <w:t>Interface Architecture &amp; Operational Elements:</w:t>
              <w:br/>
              <w:t>Captures unmet academic needs when inventory is exhausted; records student course code, urgency level, and automatically subscribes the user to stock re-availability alerts.</w:t>
            </w:r>
          </w:p>
        </w:tc>
      </w:tr>
    </w:tbl>
    <w:p>
      <w:pPr>
        <w:spacing w:before="40" w:after="120"/>
      </w:pPr>
    </w:p>
    <w:tbl>
      <w:tblPr>
        <w:tblW w:type="auto" w:w="0"/>
        <w:jc w:val="center"/>
        <w:tblLayout w:type="fixed"/>
        <w:tblLook w:firstColumn="1" w:firstRow="1" w:lastColumn="0" w:lastRow="0" w:noHBand="0" w:noVBand="1" w:val="04A0"/>
      </w:tblPr>
      <w:tblGrid>
        <w:gridCol w:w="9792"/>
      </w:tblGrid>
      <w:tr>
        <w:tc>
          <w:tcPr>
            <w:tcW w:type="dxa" w:w="10080"/>
            <w:tcMar>
              <w:top w:w="120" w:type="dxa"/>
              <w:bottom w:w="120" w:type="dxa"/>
              <w:left w:w="180" w:type="dxa"/>
              <w:right w:w="180" w:type="dxa"/>
            </w:tcMar>
            <w:shd w:val="clear" w:color="auto" w:fill="F0F4F8"/>
            <w:tcBorders>
              <w:top w:val="single" w:sz="12" w:space="0" w:color="17365D"/>
              <w:bottom w:val="single" w:sz="12" w:space="0" w:color="17365D"/>
              <w:left w:val="single" w:sz="12" w:space="0" w:color="17365D"/>
              <w:right w:val="single" w:sz="12" w:space="0" w:color="17365D"/>
            </w:tcBorders>
          </w:tcPr>
          <w:p>
            <w:pPr>
              <w:spacing w:before="0" w:after="40"/>
            </w:pPr>
            <w:r>
              <w:rPr>
                <w:rFonts w:ascii="Times New Roman" w:hAnsi="Times New Roman"/>
                <w:b/>
                <w:color w:val="17365D"/>
                <w:sz w:val="21"/>
              </w:rPr>
              <w:t>[Figure 5.5] STUDENT PEER RESOURCE LENDING MANAGEMENT DASHBOARD</w:t>
              <w:br/>
            </w:r>
            <w:r>
              <w:rPr>
                <w:rFonts w:ascii="Courier New" w:hAnsi="Courier New"/>
                <w:b/>
                <w:color w:val="0D9488"/>
                <w:sz w:val="18"/>
              </w:rPr>
              <w:t>System Endpoint: /student/listings   |   User Context: Student (Lender)</w:t>
              <w:br/>
              <w:br/>
            </w:r>
            <w:r>
              <w:rPr>
                <w:rFonts w:ascii="Times New Roman" w:hAnsi="Times New Roman"/>
                <w:i/>
                <w:color w:val="334155"/>
                <w:sz w:val="20"/>
              </w:rPr>
              <w:t>Interface Architecture &amp; Operational Elements:</w:t>
              <w:br/>
              <w:t>Enables students to post peer lending items, toggle availability status (Active/Paused), set lending duration limits, and review incoming borrow requests without disclosing private contact information.</w:t>
            </w:r>
          </w:p>
        </w:tc>
      </w:tr>
    </w:tbl>
    <w:p>
      <w:pPr>
        <w:spacing w:before="40" w:after="120"/>
      </w:pPr>
    </w:p>
    <w:tbl>
      <w:tblPr>
        <w:tblW w:type="auto" w:w="0"/>
        <w:jc w:val="center"/>
        <w:tblLayout w:type="fixed"/>
        <w:tblLook w:firstColumn="1" w:firstRow="1" w:lastColumn="0" w:lastRow="0" w:noHBand="0" w:noVBand="1" w:val="04A0"/>
      </w:tblPr>
      <w:tblGrid>
        <w:gridCol w:w="9792"/>
      </w:tblGrid>
      <w:tr>
        <w:tc>
          <w:tcPr>
            <w:tcW w:type="dxa" w:w="10080"/>
            <w:tcMar>
              <w:top w:w="120" w:type="dxa"/>
              <w:bottom w:w="120" w:type="dxa"/>
              <w:left w:w="180" w:type="dxa"/>
              <w:right w:w="180" w:type="dxa"/>
            </w:tcMar>
            <w:shd w:val="clear" w:color="auto" w:fill="F0F4F8"/>
            <w:tcBorders>
              <w:top w:val="single" w:sz="12" w:space="0" w:color="17365D"/>
              <w:bottom w:val="single" w:sz="12" w:space="0" w:color="17365D"/>
              <w:left w:val="single" w:sz="12" w:space="0" w:color="17365D"/>
              <w:right w:val="single" w:sz="12" w:space="0" w:color="17365D"/>
            </w:tcBorders>
          </w:tcPr>
          <w:p>
            <w:pPr>
              <w:spacing w:before="0" w:after="40"/>
            </w:pPr>
            <w:r>
              <w:rPr>
                <w:rFonts w:ascii="Times New Roman" w:hAnsi="Times New Roman"/>
                <w:b/>
                <w:color w:val="17365D"/>
                <w:sz w:val="21"/>
              </w:rPr>
              <w:t>[Figure 5.6] STUDENT ACTIVE LOANS, RESERVATIONS &amp; BORROWING HISTORY</w:t>
              <w:br/>
            </w:r>
            <w:r>
              <w:rPr>
                <w:rFonts w:ascii="Courier New" w:hAnsi="Courier New"/>
                <w:b/>
                <w:color w:val="0D9488"/>
                <w:sz w:val="18"/>
              </w:rPr>
              <w:t>System Endpoint: /student/dashboard   |   User Context: Student (Borrower)</w:t>
              <w:br/>
              <w:br/>
            </w:r>
            <w:r>
              <w:rPr>
                <w:rFonts w:ascii="Times New Roman" w:hAnsi="Times New Roman"/>
                <w:i/>
                <w:color w:val="334155"/>
                <w:sz w:val="20"/>
              </w:rPr>
              <w:t>Interface Architecture &amp; Operational Elements:</w:t>
              <w:br/>
              <w:t>Comprehensive student portal tracking active checkouts, countdown timers for return due dates, upcoming reservation schedules, and historical borrowing records.</w:t>
            </w:r>
          </w:p>
        </w:tc>
      </w:tr>
    </w:tbl>
    <w:p>
      <w:pPr>
        <w:spacing w:before="40" w:after="120"/>
      </w:pPr>
    </w:p>
    <w:tbl>
      <w:tblPr>
        <w:tblW w:type="auto" w:w="0"/>
        <w:jc w:val="center"/>
        <w:tblLayout w:type="fixed"/>
        <w:tblLook w:firstColumn="1" w:firstRow="1" w:lastColumn="0" w:lastRow="0" w:noHBand="0" w:noVBand="1" w:val="04A0"/>
      </w:tblPr>
      <w:tblGrid>
        <w:gridCol w:w="9792"/>
      </w:tblGrid>
      <w:tr>
        <w:tc>
          <w:tcPr>
            <w:tcW w:type="dxa" w:w="10080"/>
            <w:tcMar>
              <w:top w:w="120" w:type="dxa"/>
              <w:bottom w:w="120" w:type="dxa"/>
              <w:left w:w="180" w:type="dxa"/>
              <w:right w:w="180" w:type="dxa"/>
            </w:tcMar>
            <w:shd w:val="clear" w:color="auto" w:fill="F0F4F8"/>
            <w:tcBorders>
              <w:top w:val="single" w:sz="12" w:space="0" w:color="17365D"/>
              <w:bottom w:val="single" w:sz="12" w:space="0" w:color="17365D"/>
              <w:left w:val="single" w:sz="12" w:space="0" w:color="17365D"/>
              <w:right w:val="single" w:sz="12" w:space="0" w:color="17365D"/>
            </w:tcBorders>
          </w:tcPr>
          <w:p>
            <w:pPr>
              <w:spacing w:before="0" w:after="40"/>
            </w:pPr>
            <w:r>
              <w:rPr>
                <w:rFonts w:ascii="Times New Roman" w:hAnsi="Times New Roman"/>
                <w:b/>
                <w:color w:val="17365D"/>
                <w:sz w:val="21"/>
              </w:rPr>
              <w:t>[Figure 5.7] ADMINISTRATIVE INSTITUTIONAL INVENTORY &amp; COPY MANAGEMENT</w:t>
              <w:br/>
            </w:r>
            <w:r>
              <w:rPr>
                <w:rFonts w:ascii="Courier New" w:hAnsi="Courier New"/>
                <w:b/>
                <w:color w:val="0D9488"/>
                <w:sz w:val="18"/>
              </w:rPr>
              <w:t>System Endpoint: /admin/inventory   |   User Context: Administrator</w:t>
              <w:br/>
              <w:br/>
            </w:r>
            <w:r>
              <w:rPr>
                <w:rFonts w:ascii="Times New Roman" w:hAnsi="Times New Roman"/>
                <w:i/>
                <w:color w:val="334155"/>
                <w:sz w:val="20"/>
              </w:rPr>
              <w:t>Interface Architecture &amp; Operational Elements:</w:t>
              <w:br/>
              <w:t>Complete inventory control grid displaying unique copy barcodes, condition statuses (Good, Fair, Damaged), departmental allocations, and modal controls for adding new stock.</w:t>
            </w:r>
          </w:p>
        </w:tc>
      </w:tr>
    </w:tbl>
    <w:p>
      <w:pPr>
        <w:spacing w:before="40" w:after="120"/>
      </w:pPr>
    </w:p>
    <w:tbl>
      <w:tblPr>
        <w:tblW w:type="auto" w:w="0"/>
        <w:jc w:val="center"/>
        <w:tblLayout w:type="fixed"/>
        <w:tblLook w:firstColumn="1" w:firstRow="1" w:lastColumn="0" w:lastRow="0" w:noHBand="0" w:noVBand="1" w:val="04A0"/>
      </w:tblPr>
      <w:tblGrid>
        <w:gridCol w:w="9792"/>
      </w:tblGrid>
      <w:tr>
        <w:tc>
          <w:tcPr>
            <w:tcW w:type="dxa" w:w="10080"/>
            <w:tcMar>
              <w:top w:w="120" w:type="dxa"/>
              <w:bottom w:w="120" w:type="dxa"/>
              <w:left w:w="180" w:type="dxa"/>
              <w:right w:w="180" w:type="dxa"/>
            </w:tcMar>
            <w:shd w:val="clear" w:color="auto" w:fill="F0F4F8"/>
            <w:tcBorders>
              <w:top w:val="single" w:sz="12" w:space="0" w:color="17365D"/>
              <w:bottom w:val="single" w:sz="12" w:space="0" w:color="17365D"/>
              <w:left w:val="single" w:sz="12" w:space="0" w:color="17365D"/>
              <w:right w:val="single" w:sz="12" w:space="0" w:color="17365D"/>
            </w:tcBorders>
          </w:tcPr>
          <w:p>
            <w:pPr>
              <w:spacing w:before="0" w:after="40"/>
            </w:pPr>
            <w:r>
              <w:rPr>
                <w:rFonts w:ascii="Times New Roman" w:hAnsi="Times New Roman"/>
                <w:b/>
                <w:color w:val="17365D"/>
                <w:sz w:val="21"/>
              </w:rPr>
              <w:t>[Figure 5.8] ADMINISTRATIVE LOAN CHECKOUT &amp; RETURN PROCESSING PORTAL</w:t>
              <w:br/>
            </w:r>
            <w:r>
              <w:rPr>
                <w:rFonts w:ascii="Courier New" w:hAnsi="Courier New"/>
                <w:b/>
                <w:color w:val="0D9488"/>
                <w:sz w:val="18"/>
              </w:rPr>
              <w:t>System Endpoint: /admin/loans   |   User Context: Administrator</w:t>
              <w:br/>
              <w:br/>
            </w:r>
            <w:r>
              <w:rPr>
                <w:rFonts w:ascii="Times New Roman" w:hAnsi="Times New Roman"/>
                <w:i/>
                <w:color w:val="334155"/>
                <w:sz w:val="20"/>
              </w:rPr>
              <w:t>Interface Architecture &amp; Operational Elements:</w:t>
              <w:br/>
              <w:t>Circulation desk interface supporting instant reservation-to-loan conversion, barcode scanning, due date modification, and return processing with condition assessment.</w:t>
            </w:r>
          </w:p>
        </w:tc>
      </w:tr>
    </w:tbl>
    <w:p>
      <w:pPr>
        <w:spacing w:before="40" w:after="120"/>
      </w:pPr>
    </w:p>
    <w:tbl>
      <w:tblPr>
        <w:tblW w:type="auto" w:w="0"/>
        <w:jc w:val="center"/>
        <w:tblLayout w:type="fixed"/>
        <w:tblLook w:firstColumn="1" w:firstRow="1" w:lastColumn="0" w:lastRow="0" w:noHBand="0" w:noVBand="1" w:val="04A0"/>
      </w:tblPr>
      <w:tblGrid>
        <w:gridCol w:w="9792"/>
      </w:tblGrid>
      <w:tr>
        <w:tc>
          <w:tcPr>
            <w:tcW w:type="dxa" w:w="10080"/>
            <w:tcMar>
              <w:top w:w="120" w:type="dxa"/>
              <w:bottom w:w="120" w:type="dxa"/>
              <w:left w:w="180" w:type="dxa"/>
              <w:right w:w="180" w:type="dxa"/>
            </w:tcMar>
            <w:shd w:val="clear" w:color="auto" w:fill="F0F4F8"/>
            <w:tcBorders>
              <w:top w:val="single" w:sz="12" w:space="0" w:color="17365D"/>
              <w:bottom w:val="single" w:sz="12" w:space="0" w:color="17365D"/>
              <w:left w:val="single" w:sz="12" w:space="0" w:color="17365D"/>
              <w:right w:val="single" w:sz="12" w:space="0" w:color="17365D"/>
            </w:tcBorders>
          </w:tcPr>
          <w:p>
            <w:pPr>
              <w:spacing w:before="0" w:after="40"/>
            </w:pPr>
            <w:r>
              <w:rPr>
                <w:rFonts w:ascii="Times New Roman" w:hAnsi="Times New Roman"/>
                <w:b/>
                <w:color w:val="17365D"/>
                <w:sz w:val="21"/>
              </w:rPr>
              <w:t>[Figure 5.9] MAINTENANCE WORKFLOW &amp; ASSET QUARANTINE LOG</w:t>
              <w:br/>
            </w:r>
            <w:r>
              <w:rPr>
                <w:rFonts w:ascii="Courier New" w:hAnsi="Courier New"/>
                <w:b/>
                <w:color w:val="0D9488"/>
                <w:sz w:val="18"/>
              </w:rPr>
              <w:t>System Endpoint: /admin/maintenance   |   User Context: Administrator</w:t>
              <w:br/>
              <w:br/>
            </w:r>
            <w:r>
              <w:rPr>
                <w:rFonts w:ascii="Times New Roman" w:hAnsi="Times New Roman"/>
                <w:i/>
                <w:color w:val="334155"/>
                <w:sz w:val="20"/>
              </w:rPr>
              <w:t>Interface Architecture &amp; Operational Elements:</w:t>
              <w:br/>
              <w:t>Dedicated maintenance board tracking damaged assets, diagnostic repair notes, technician assignments, repair cost logging, and re-certification to active inventory.</w:t>
            </w:r>
          </w:p>
        </w:tc>
      </w:tr>
    </w:tbl>
    <w:p>
      <w:pPr>
        <w:spacing w:before="40" w:after="120"/>
      </w:pPr>
    </w:p>
    <w:tbl>
      <w:tblPr>
        <w:tblW w:type="auto" w:w="0"/>
        <w:jc w:val="center"/>
        <w:tblLayout w:type="fixed"/>
        <w:tblLook w:firstColumn="1" w:firstRow="1" w:lastColumn="0" w:lastRow="0" w:noHBand="0" w:noVBand="1" w:val="04A0"/>
      </w:tblPr>
      <w:tblGrid>
        <w:gridCol w:w="9792"/>
      </w:tblGrid>
      <w:tr>
        <w:tc>
          <w:tcPr>
            <w:tcW w:type="dxa" w:w="10080"/>
            <w:tcMar>
              <w:top w:w="120" w:type="dxa"/>
              <w:bottom w:w="120" w:type="dxa"/>
              <w:left w:w="180" w:type="dxa"/>
              <w:right w:w="180" w:type="dxa"/>
            </w:tcMar>
            <w:shd w:val="clear" w:color="auto" w:fill="F0F4F8"/>
            <w:tcBorders>
              <w:top w:val="single" w:sz="12" w:space="0" w:color="17365D"/>
              <w:bottom w:val="single" w:sz="12" w:space="0" w:color="17365D"/>
              <w:left w:val="single" w:sz="12" w:space="0" w:color="17365D"/>
              <w:right w:val="single" w:sz="12" w:space="0" w:color="17365D"/>
            </w:tcBorders>
          </w:tcPr>
          <w:p>
            <w:pPr>
              <w:spacing w:before="0" w:after="40"/>
            </w:pPr>
            <w:r>
              <w:rPr>
                <w:rFonts w:ascii="Times New Roman" w:hAnsi="Times New Roman"/>
                <w:b/>
                <w:color w:val="17365D"/>
                <w:sz w:val="21"/>
              </w:rPr>
              <w:t>[Figure 5.10] DEMAND-AWARE ANALYTICS DASHBOARD &amp; ALLOCATION PRIORITY RANKING</w:t>
              <w:br/>
            </w:r>
            <w:r>
              <w:rPr>
                <w:rFonts w:ascii="Courier New" w:hAnsi="Courier New"/>
                <w:b/>
                <w:color w:val="0D9488"/>
                <w:sz w:val="18"/>
              </w:rPr>
              <w:t>System Endpoint: /admin/demand   |   User Context: Administrator</w:t>
              <w:br/>
              <w:br/>
            </w:r>
            <w:r>
              <w:rPr>
                <w:rFonts w:ascii="Times New Roman" w:hAnsi="Times New Roman"/>
                <w:i/>
                <w:color w:val="334155"/>
                <w:sz w:val="20"/>
              </w:rPr>
              <w:t>Interface Architecture &amp; Operational Elements:</w:t>
              <w:br/>
              <w:t>Executive analytics dashboard featuring Chart.js visual charts (Category Utilization, Unmet Demand Distribution) and the MCDA Review Priority Table with one-click tabular CSV report export.</w:t>
            </w:r>
          </w:p>
        </w:tc>
      </w:tr>
    </w:tbl>
    <w:p>
      <w:pPr>
        <w:spacing w:before="40" w:after="120"/>
      </w:pPr>
    </w:p>
    <w:p>
      <w:pPr>
        <w:keepNext/>
        <w:spacing w:before="220" w:after="80"/>
        <w:jc w:val="left"/>
      </w:pPr>
      <w:r>
        <w:rPr>
          <w:rFonts w:ascii="Times New Roman" w:hAnsi="Times New Roman"/>
          <w:b/>
          <w:color w:val="17365D"/>
          <w:sz w:val="24"/>
        </w:rPr>
        <w:t>5.3 Comprehensive Functional Test Suite Execution &amp; Verification</w:t>
      </w:r>
    </w:p>
    <w:p>
      <w:pPr>
        <w:spacing w:before="0" w:after="80" w:line="276" w:lineRule="auto"/>
        <w:jc w:val="both"/>
      </w:pPr>
      <w:r>
        <w:rPr>
          <w:rFonts w:ascii="Times New Roman" w:hAnsi="Times New Roman"/>
          <w:sz w:val="24"/>
        </w:rPr>
        <w:t>A rigorous automated and manual test suite of 16 comprehensive test cases was executed against the running CRISS application and MySQL 8 database instance. All 16 test cases achieved 100% pass status, validating concurrency isolation, transactional integrity, and algorithmic correctness:</w:t>
      </w:r>
    </w:p>
    <w:tbl>
      <w:tblPr>
        <w:tblW w:type="auto" w:w="0"/>
        <w:jc w:val="center"/>
        <w:tblLayout w:type="fixed"/>
        <w:tblLook w:firstColumn="1" w:firstRow="1" w:lastColumn="0" w:lastRow="0" w:noHBand="0" w:noVBand="1" w:val="04A0"/>
      </w:tblPr>
      <w:tblGrid>
        <w:gridCol w:w="1152"/>
        <w:gridCol w:w="2592"/>
        <w:gridCol w:w="3168"/>
        <w:gridCol w:w="2016"/>
        <w:gridCol w:w="864"/>
      </w:tblGrid>
      <w:tr>
        <w:tc>
          <w:tcPr>
            <w:tcW w:type="dxa" w:w="2016"/>
            <w:tcMar>
              <w:top w:w="90" w:type="dxa"/>
              <w:bottom w:w="90" w:type="dxa"/>
              <w:left w:w="90" w:type="dxa"/>
              <w:right w:w="90" w:type="dxa"/>
            </w:tcMar>
            <w:shd w:val="clear" w:color="auto" w:fill="17365D"/>
            <w:tcBorders>
              <w:top w:val="single" w:sz="6" w:space="0" w:color="17365D"/>
              <w:bottom w:val="single" w:sz="6" w:space="0" w:color="17365D"/>
              <w:left w:val="none" w:sz="6" w:space="0" w:color="17365D"/>
              <w:right w:val="none" w:sz="6" w:space="0" w:color="17365D"/>
            </w:tcBorders>
          </w:tcPr>
          <w:p>
            <w:pPr>
              <w:jc w:val="center"/>
            </w:pPr>
            <w:r>
              <w:rPr>
                <w:rFonts w:ascii="Times New Roman" w:hAnsi="Times New Roman"/>
                <w:b/>
                <w:color w:val="FFFFFF"/>
                <w:sz w:val="19"/>
              </w:rPr>
              <w:t>Test ID</w:t>
            </w:r>
          </w:p>
        </w:tc>
        <w:tc>
          <w:tcPr>
            <w:tcW w:type="dxa" w:w="2016"/>
            <w:tcMar>
              <w:top w:w="90" w:type="dxa"/>
              <w:bottom w:w="90" w:type="dxa"/>
              <w:left w:w="90" w:type="dxa"/>
              <w:right w:w="90" w:type="dxa"/>
            </w:tcMar>
            <w:shd w:val="clear" w:color="auto" w:fill="17365D"/>
            <w:tcBorders>
              <w:top w:val="single" w:sz="6" w:space="0" w:color="17365D"/>
              <w:bottom w:val="single" w:sz="6" w:space="0" w:color="17365D"/>
              <w:left w:val="none" w:sz="6" w:space="0" w:color="17365D"/>
              <w:right w:val="none" w:sz="6" w:space="0" w:color="17365D"/>
            </w:tcBorders>
          </w:tcPr>
          <w:p>
            <w:pPr>
              <w:jc w:val="left"/>
            </w:pPr>
            <w:r>
              <w:rPr>
                <w:rFonts w:ascii="Times New Roman" w:hAnsi="Times New Roman"/>
                <w:b/>
                <w:color w:val="FFFFFF"/>
                <w:sz w:val="19"/>
              </w:rPr>
              <w:t>Test Scenario</w:t>
            </w:r>
          </w:p>
        </w:tc>
        <w:tc>
          <w:tcPr>
            <w:tcW w:type="dxa" w:w="2016"/>
            <w:tcMar>
              <w:top w:w="90" w:type="dxa"/>
              <w:bottom w:w="90" w:type="dxa"/>
              <w:left w:w="90" w:type="dxa"/>
              <w:right w:w="90" w:type="dxa"/>
            </w:tcMar>
            <w:shd w:val="clear" w:color="auto" w:fill="17365D"/>
            <w:tcBorders>
              <w:top w:val="single" w:sz="6" w:space="0" w:color="17365D"/>
              <w:bottom w:val="single" w:sz="6" w:space="0" w:color="17365D"/>
              <w:left w:val="none" w:sz="6" w:space="0" w:color="17365D"/>
              <w:right w:val="none" w:sz="6" w:space="0" w:color="17365D"/>
            </w:tcBorders>
          </w:tcPr>
          <w:p>
            <w:pPr>
              <w:jc w:val="left"/>
            </w:pPr>
            <w:r>
              <w:rPr>
                <w:rFonts w:ascii="Times New Roman" w:hAnsi="Times New Roman"/>
                <w:b/>
                <w:color w:val="FFFFFF"/>
                <w:sz w:val="19"/>
              </w:rPr>
              <w:t>Input / Action Executed</w:t>
            </w:r>
          </w:p>
        </w:tc>
        <w:tc>
          <w:tcPr>
            <w:tcW w:type="dxa" w:w="2016"/>
            <w:tcMar>
              <w:top w:w="90" w:type="dxa"/>
              <w:bottom w:w="90" w:type="dxa"/>
              <w:left w:w="90" w:type="dxa"/>
              <w:right w:w="90" w:type="dxa"/>
            </w:tcMar>
            <w:shd w:val="clear" w:color="auto" w:fill="17365D"/>
            <w:tcBorders>
              <w:top w:val="single" w:sz="6" w:space="0" w:color="17365D"/>
              <w:bottom w:val="single" w:sz="6" w:space="0" w:color="17365D"/>
              <w:left w:val="none" w:sz="6" w:space="0" w:color="17365D"/>
              <w:right w:val="none" w:sz="6" w:space="0" w:color="17365D"/>
            </w:tcBorders>
          </w:tcPr>
          <w:p>
            <w:pPr>
              <w:jc w:val="left"/>
            </w:pPr>
            <w:r>
              <w:rPr>
                <w:rFonts w:ascii="Times New Roman" w:hAnsi="Times New Roman"/>
                <w:b/>
                <w:color w:val="FFFFFF"/>
                <w:sz w:val="19"/>
              </w:rPr>
              <w:t>Expected Behavior</w:t>
            </w:r>
          </w:p>
        </w:tc>
        <w:tc>
          <w:tcPr>
            <w:tcW w:type="dxa" w:w="2016"/>
            <w:tcMar>
              <w:top w:w="90" w:type="dxa"/>
              <w:bottom w:w="90" w:type="dxa"/>
              <w:left w:w="90" w:type="dxa"/>
              <w:right w:w="90" w:type="dxa"/>
            </w:tcMar>
            <w:shd w:val="clear" w:color="auto" w:fill="17365D"/>
            <w:tcBorders>
              <w:top w:val="single" w:sz="6" w:space="0" w:color="17365D"/>
              <w:bottom w:val="single" w:sz="6" w:space="0" w:color="17365D"/>
              <w:left w:val="none" w:sz="6" w:space="0" w:color="17365D"/>
              <w:right w:val="none" w:sz="6" w:space="0" w:color="17365D"/>
            </w:tcBorders>
          </w:tcPr>
          <w:p>
            <w:pPr>
              <w:jc w:val="center"/>
            </w:pPr>
            <w:r>
              <w:rPr>
                <w:rFonts w:ascii="Times New Roman" w:hAnsi="Times New Roman"/>
                <w:b/>
                <w:color w:val="FFFFFF"/>
                <w:sz w:val="19"/>
              </w:rPr>
              <w:t>Status</w:t>
            </w:r>
          </w:p>
        </w:tc>
      </w:tr>
      <w:tr>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18"/>
              </w:rPr>
              <w:t>TC-01</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User Authentication</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Submit valid student credentials to /login</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Session authenticated with role 'STUDENT'</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8"/>
              </w:rPr>
              <w:t>Pass</w:t>
            </w:r>
          </w:p>
        </w:tc>
      </w:tr>
      <w:tr>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18"/>
              </w:rPr>
              <w:t>TC-02</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Password Security</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Inspect database password column in `users` table</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Hashes verify PBKDF2-SHA256 salt format</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8"/>
              </w:rPr>
              <w:t>Pass</w:t>
            </w:r>
          </w:p>
        </w:tc>
      </w:tr>
      <w:tr>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18"/>
              </w:rPr>
              <w:t>TC-03</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Catalog Search Query</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Search 'Microcontroller' with category 'LAB_KIT'</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Sub-50ms return of filtered matching items</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8"/>
              </w:rPr>
              <w:t>Pass</w:t>
            </w:r>
          </w:p>
        </w:tc>
      </w:tr>
      <w:tr>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18"/>
              </w:rPr>
              <w:t>TC-04</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View Data Integrity</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Query `vw_resource_catalog` against base tables</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Exact count match of available &amp; loaned copies</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8"/>
              </w:rPr>
              <w:t>Pass</w:t>
            </w:r>
          </w:p>
        </w:tc>
      </w:tr>
      <w:tr>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18"/>
              </w:rPr>
              <w:t>TC-05</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Valid Reservation</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Reserve available copy for valid future dates</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Record created in `reservations` with CONFIRMED</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8"/>
              </w:rPr>
              <w:t>Pass</w:t>
            </w:r>
          </w:p>
        </w:tc>
      </w:tr>
      <w:tr>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18"/>
              </w:rPr>
              <w:t>TC-06</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Double-Booking Prevention</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Simultaneous concurrent requests for single copy</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First succeeds; second rejected by row lock</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8"/>
              </w:rPr>
              <w:t>Pass</w:t>
            </w:r>
          </w:p>
        </w:tc>
      </w:tr>
      <w:tr>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18"/>
              </w:rPr>
              <w:t>TC-07</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Reservation Cancellation</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User cancels active reservation</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Reservation marked CANCELLED; copy released</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8"/>
              </w:rPr>
              <w:t>Pass</w:t>
            </w:r>
          </w:p>
        </w:tc>
      </w:tr>
      <w:tr>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18"/>
              </w:rPr>
              <w:t>TC-08</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Loan Checkout Workflow</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Admin converts confirmed reservation to loan</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Loan created with ACTIVE; copy marked ON_LOAN</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8"/>
              </w:rPr>
              <w:t>Pass</w:t>
            </w:r>
          </w:p>
        </w:tc>
      </w:tr>
      <w:tr>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18"/>
              </w:rPr>
              <w:t>TC-09</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Trigger: Loan Insertion</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Execute INSERT INTO loans for copy #101</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`resource_copies.status` updated to 'ON_LOAN'</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8"/>
              </w:rPr>
              <w:t>Pass</w:t>
            </w:r>
          </w:p>
        </w:tc>
      </w:tr>
      <w:tr>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18"/>
              </w:rPr>
              <w:t>TC-10</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Stored Procedure Return</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Call `sp_process_loan_return` with GOOD condition</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Loan RETURNED, returned_at set, copy AVAILABLE</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8"/>
              </w:rPr>
              <w:t>Pass</w:t>
            </w:r>
          </w:p>
        </w:tc>
      </w:tr>
      <w:tr>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18"/>
              </w:rPr>
              <w:t>TC-11</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Trigger: Return Execution</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Execute loan return update via procedure</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`resource_copies.status` restored to AVAILABLE</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8"/>
              </w:rPr>
              <w:t>Pass</w:t>
            </w:r>
          </w:p>
        </w:tc>
      </w:tr>
      <w:tr>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18"/>
              </w:rPr>
              <w:t>TC-12</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Alternative Matching</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Request unavailable item with category LAB_KIT</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System recommends equivalent active lab kits</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8"/>
              </w:rPr>
              <w:t>Pass</w:t>
            </w:r>
          </w:p>
        </w:tc>
      </w:tr>
      <w:tr>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18"/>
              </w:rPr>
              <w:t>TC-13</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Unmet Demand Logging</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Submit demand request for out-of-stock textbook</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Request recorded in `demand_requests` table</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8"/>
              </w:rPr>
              <w:t>Pass</w:t>
            </w:r>
          </w:p>
        </w:tc>
      </w:tr>
      <w:tr>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18"/>
              </w:rPr>
              <w:t>TC-14</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Demand Scoring Engine</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Compute MCDA Review Priority on demand view</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Correct mathematical score between 0.0 and 100.0</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8"/>
              </w:rPr>
              <w:t>Pass</w:t>
            </w:r>
          </w:p>
        </w:tc>
      </w:tr>
      <w:tr>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18"/>
              </w:rPr>
              <w:t>TC-15</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Peer Listing Privacy</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Inspect student peer listing on public catalog</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Contact phone &amp; private email masked completely</w:t>
            </w:r>
          </w:p>
        </w:tc>
        <w:tc>
          <w:tcPr>
            <w:tcW w:type="dxa" w:w="2016"/>
            <w:tcMar>
              <w:top w:w="60" w:type="dxa"/>
              <w:bottom w:w="60" w:type="dxa"/>
              <w:left w:w="70" w:type="dxa"/>
              <w:right w:w="70" w:type="dxa"/>
            </w:tcMar>
            <w:shd w:val="clear" w:color="auto" w:fill="FFFFFF"/>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8"/>
              </w:rPr>
              <w:t>Pass</w:t>
            </w:r>
          </w:p>
        </w:tc>
      </w:tr>
      <w:tr>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sz w:val="18"/>
              </w:rPr>
              <w:t>TC-16</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CSV Report Export</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Admin requests analytical report CSV download</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left"/>
            </w:pPr>
            <w:r>
              <w:rPr>
                <w:rFonts w:ascii="Times New Roman" w:hAnsi="Times New Roman"/>
                <w:sz w:val="18"/>
              </w:rPr>
              <w:t>HTTP 200 with valid, structured tabular CSV data</w:t>
            </w:r>
          </w:p>
        </w:tc>
        <w:tc>
          <w:tcPr>
            <w:tcW w:type="dxa" w:w="2016"/>
            <w:tcMar>
              <w:top w:w="60" w:type="dxa"/>
              <w:bottom w:w="60" w:type="dxa"/>
              <w:left w:w="70" w:type="dxa"/>
              <w:right w:w="70" w:type="dxa"/>
            </w:tcMar>
            <w:shd w:val="clear" w:color="auto" w:fill="F8FAFC"/>
            <w:tcBorders>
              <w:top w:val="single" w:sz="4" w:space="0" w:color="E2E8F0"/>
              <w:bottom w:val="single" w:sz="4" w:space="0" w:color="E2E8F0"/>
              <w:left w:val="none" w:sz="4" w:space="0" w:color="E2E8F0"/>
              <w:right w:val="none" w:sz="4" w:space="0" w:color="E2E8F0"/>
            </w:tcBorders>
          </w:tcPr>
          <w:p>
            <w:pPr>
              <w:jc w:val="center"/>
            </w:pPr>
            <w:r>
              <w:rPr>
                <w:rFonts w:ascii="Times New Roman" w:hAnsi="Times New Roman"/>
                <w:b/>
                <w:color w:val="059669"/>
                <w:sz w:val="18"/>
              </w:rPr>
              <w:t>Pass</w:t>
            </w:r>
          </w:p>
        </w:tc>
      </w:tr>
    </w:tbl>
    <w:p>
      <w:pPr>
        <w:keepNext/>
        <w:pageBreakBefore/>
        <w:spacing w:before="320" w:after="160"/>
        <w:jc w:val="left"/>
      </w:pPr>
      <w:r>
        <w:rPr>
          <w:rFonts w:ascii="Times New Roman" w:hAnsi="Times New Roman"/>
          <w:b/>
          <w:color w:val="000000"/>
          <w:sz w:val="28"/>
        </w:rPr>
        <w:t>6. CONCLUSION</w:t>
      </w:r>
    </w:p>
    <w:p>
      <w:pPr>
        <w:keepNext/>
        <w:spacing w:before="220" w:after="80"/>
        <w:jc w:val="left"/>
      </w:pPr>
      <w:r>
        <w:rPr>
          <w:rFonts w:ascii="Times New Roman" w:hAnsi="Times New Roman"/>
          <w:b/>
          <w:color w:val="17365D"/>
          <w:sz w:val="24"/>
        </w:rPr>
        <w:t>6.1 Project Summary &amp; Achievements</w:t>
      </w:r>
    </w:p>
    <w:p>
      <w:pPr>
        <w:spacing w:before="0" w:after="80" w:line="276" w:lineRule="auto"/>
        <w:jc w:val="both"/>
      </w:pPr>
      <w:r>
        <w:rPr>
          <w:rFonts w:ascii="Times New Roman" w:hAnsi="Times New Roman"/>
          <w:sz w:val="24"/>
        </w:rPr>
        <w:t>The Campus Resource Intelligence &amp; Sharing System (CRISS) successfully fulfills the requirement for a modern, integrated academic asset management and peer-to-peer sharing ecosystem. By uniting college-owned hardware, laboratory equipment, textbooks, and study spaces with student-owned inventory, CRISS eliminates campus resource silos. The platform successfully demonstrates that high-concurrency reservation workflows and student-to-student sharing can operate harmoniously under strict relational integrity rules.</w:t>
      </w:r>
    </w:p>
    <w:p>
      <w:pPr>
        <w:keepNext/>
        <w:spacing w:before="220" w:after="80"/>
        <w:jc w:val="left"/>
      </w:pPr>
      <w:r>
        <w:rPr>
          <w:rFonts w:ascii="Times New Roman" w:hAnsi="Times New Roman"/>
          <w:b/>
          <w:color w:val="17365D"/>
          <w:sz w:val="24"/>
        </w:rPr>
        <w:t>6.2 The Fundamental Role of Relational DBMS in Campus Operations</w:t>
      </w:r>
    </w:p>
    <w:p>
      <w:pPr>
        <w:spacing w:before="0" w:after="80" w:line="276" w:lineRule="auto"/>
        <w:jc w:val="both"/>
      </w:pPr>
      <w:r>
        <w:rPr>
          <w:rFonts w:ascii="Times New Roman" w:hAnsi="Times New Roman"/>
          <w:sz w:val="24"/>
        </w:rPr>
        <w:t>The foundational strength of CRISS is rooted in its 3NF-compliant MySQL 8 relational database architecture. The deployment of InnoDB transaction isolation, pessimistic row-level locking (`SELECT ... FOR UPDATE`), automated status triggers, and stored procedures proves indispensable for campus operations. Relational guarantees ensure that concurrent booking collisions are mathematically impossible, orphan records are rejected at the schema level, and circulation histories remain strictly immutable.</w:t>
      </w:r>
    </w:p>
    <w:p>
      <w:pPr>
        <w:keepNext/>
        <w:spacing w:before="220" w:after="80"/>
        <w:jc w:val="left"/>
      </w:pPr>
      <w:r>
        <w:rPr>
          <w:rFonts w:ascii="Times New Roman" w:hAnsi="Times New Roman"/>
          <w:b/>
          <w:color w:val="17365D"/>
          <w:sz w:val="24"/>
        </w:rPr>
        <w:t>6.3 Institutional Value of Demand-Aware Allocation Intelligence</w:t>
      </w:r>
    </w:p>
    <w:p>
      <w:pPr>
        <w:spacing w:before="0" w:after="80" w:line="276" w:lineRule="auto"/>
        <w:jc w:val="both"/>
      </w:pPr>
      <w:r>
        <w:rPr>
          <w:rFonts w:ascii="Times New Roman" w:hAnsi="Times New Roman"/>
          <w:sz w:val="24"/>
        </w:rPr>
        <w:t>A standout contribution of this project is the Demand-Aware Resource Allocation Engine. By continuously tracking unfulfilled student searches, unmet demand logs, and inventory utilization rates, CRISS computes an objective, transparent Multi-Criteria Decision Analysis (MCDA) priority score. This provides department heads and institutional administrators with actionable, data-driven procurement guidance, replacing subjective speculation with empirical evidence and optimizing institutional capital expenditure.</w:t>
      </w:r>
    </w:p>
    <w:p>
      <w:pPr>
        <w:keepNext/>
        <w:spacing w:before="220" w:after="80"/>
        <w:jc w:val="left"/>
      </w:pPr>
      <w:r>
        <w:rPr>
          <w:rFonts w:ascii="Times New Roman" w:hAnsi="Times New Roman"/>
          <w:b/>
          <w:color w:val="17365D"/>
          <w:sz w:val="24"/>
        </w:rPr>
        <w:t>6.4 Limitations of the Current Implementation</w:t>
      </w:r>
    </w:p>
    <w:p>
      <w:pPr>
        <w:spacing w:before="0" w:after="80" w:line="276" w:lineRule="auto"/>
        <w:jc w:val="both"/>
      </w:pPr>
      <w:r>
        <w:rPr>
          <w:rFonts w:ascii="Times New Roman" w:hAnsi="Times New Roman"/>
          <w:sz w:val="24"/>
        </w:rPr>
        <w:t>While CRISS achieves its designed objectives, several operational constraints exist in the current release:</w:t>
        <w:br/>
        <w:t>1. Physical Verification Dependency: Physical asset checkout and return verification currently depend on manual administrative inspection and keyboard input rather than automated hardware scanning.</w:t>
        <w:br/>
        <w:t>2. Single-Campus Scope: The database architecture is currently localized to a single institutional campus rather than a multi-campus university federation.</w:t>
        <w:br/>
        <w:t>3. Financial Settlement: Student peer lending relies entirely on collaborative peer honor codes without integrated monetary micro-deposits or late fine payment gateways.</w:t>
      </w:r>
    </w:p>
    <w:p>
      <w:pPr>
        <w:keepNext/>
        <w:spacing w:before="220" w:after="80"/>
        <w:jc w:val="left"/>
      </w:pPr>
      <w:r>
        <w:rPr>
          <w:rFonts w:ascii="Times New Roman" w:hAnsi="Times New Roman"/>
          <w:b/>
          <w:color w:val="17365D"/>
          <w:sz w:val="24"/>
        </w:rPr>
        <w:t>6.5 Future Enhancements &amp; Strategic Roadmap</w:t>
      </w:r>
    </w:p>
    <w:p>
      <w:pPr>
        <w:spacing w:before="0" w:after="80" w:line="276" w:lineRule="auto"/>
        <w:jc w:val="both"/>
      </w:pPr>
      <w:r>
        <w:rPr>
          <w:rFonts w:ascii="Times New Roman" w:hAnsi="Times New Roman"/>
          <w:sz w:val="24"/>
        </w:rPr>
        <w:t>To expand upon the established technical foundation, future iterations of CRISS will pursue the following strategic directions:</w:t>
        <w:br/>
        <w:t>1. Barcode &amp; RFID Hardware Integration: Interfacing hand-held optical barcode and RFID scanners with web-hook listeners to automate circulation desk checkouts and returns in real time.</w:t>
        <w:br/>
        <w:t>2. Native Mobile Companion Application: Developing iOS and Android companion applications with native push notifications for due date warnings and QR code-based peer resource handoffs.</w:t>
        <w:br/>
        <w:t>3. Multi-Campus Library Federation: Expanding schema partitioning to support cross-institutional borrowing across affiliated university colleges with automated inter-library transit tracking.</w:t>
        <w:br/>
        <w:t>4. Automated Fine Collection Gateway: Integrating secure payment gateways (e.g., UPI, Razorpay) for automated settlement of overdue fines and peer lending damage guarantees.</w:t>
      </w:r>
    </w:p>
    <w:sectPr w:rsidR="00FC693F" w:rsidRPr="0006063C" w:rsidSect="00034616">
      <w:headerReference w:type="default" r:id="rId9"/>
      <w:footerReference w:type="default" r:id="rId10"/>
      <w:pgSz w:w="12240" w:h="15840"/>
      <w:pgMar w:top="1000" w:right="1080" w:bottom="2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17365D"/>
        <w:sz w:val="20"/>
      </w:rPr>
      <w:t xml:space="preserve">Page </w:t>
    </w:r>
    <w:r>
      <w:rPr>
        <w:rFonts w:ascii="Times New Roman" w:hAnsi="Times New Roman"/>
        <w:color w:val="17365D"/>
        <w:sz w:val="20"/>
      </w:rPr>
      <w:fldChar w:fldCharType="begin"/>
      <w:instrText xml:space="preserve"> PAGE   \* MERGEFORMAT </w:instrText>
      <w:fldChar w:fldCharType="separate"/>
      <w:t>1</w:t>
      <w:fldChar w:fldCharType="end"/>
    </w:r>
  </w:p>
  <w:p>
    <w:pPr>
      <w:spacing w:before="0" w:after="0"/>
      <w:jc w:val="left"/>
    </w:pPr>
    <w:r>
      <w:rPr>
        <w:rFonts w:ascii="Times New Roman" w:hAnsi="Times New Roman"/>
        <w:sz w:val="20"/>
      </w:rPr>
      <w:t>JSPM’s RSCOE Tathawade , Pune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17365D"/>
        <w:sz w:val="20"/>
      </w:rPr>
      <w:t>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