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SOC Triage Classifier — Model Selection Justification</w:t>
      </w:r>
    </w:p>
    <w:p>
      <w:pPr>
        <w:pStyle w:val="Author"/>
      </w:pPr>
      <w:r>
        <w:t xml:space="preserve">Internal Technical Note</w:t>
      </w:r>
    </w:p>
    <w:p>
      <w:pPr>
        <w:pStyle w:val="Date"/>
      </w:pPr>
      <w:r>
        <w:t xml:space="preserve">Draft — for internal review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Xf71f7c281bd66290d8beb376da3571081398f25"/>
    <w:p>
      <w:pPr>
        <w:pStyle w:val="Heading1"/>
      </w:pPr>
      <w:r>
        <w:t xml:space="preserve">Model Selection Justification — SOC Triage Classifier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Internal technical note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ML classifier stage only (Stage 2 of the 7-stage triage pipeline).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justifies the classifier model selection for the SOC Level-1 triage system, based on two independent evaluations: a 5-fold cross-validation benchmark and a separate validation run against a fully independent, held-out dataset. All figures are reproducible from</w:t>
      </w:r>
      <w:r>
        <w:t xml:space="preserve"> </w:t>
      </w:r>
      <w:r>
        <w:rPr>
          <w:rStyle w:val="VerbatimChar"/>
        </w:rPr>
        <w:t xml:space="preserve">backend/model_comparison/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methodology-summary"/>
    <w:p>
      <w:pPr>
        <w:pStyle w:val="Heading2"/>
      </w:pPr>
      <w:r>
        <w:t xml:space="preserve">2. Methodology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 data:</w:t>
      </w:r>
      <w:r>
        <w:t xml:space="preserve"> </w:t>
      </w:r>
      <w:r>
        <w:t xml:space="preserve">10,000 synthetic tickets (</w:t>
      </w:r>
      <w:r>
        <w:rPr>
          <w:rStyle w:val="VerbatimChar"/>
        </w:rPr>
        <w:t xml:space="preserve">tickets_10000.ndjson</w:t>
      </w:r>
      <w:r>
        <w:t xml:space="preserve">), 55% FALSE_POSITIVE / 25% TRUE_POSITIVE / 20% NEEDS_REVIEW, generated with non-deterministic, feature-conditioned labels (no single field perfectly predicts the outcome; sanity-checked at 62.2% rule-name-only baseline accuracy, well below the ~95% threshold that would indicate a trivial dataset).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Features:</w:t>
      </w:r>
      <w:r>
        <w:t xml:space="preserve"> </w:t>
      </w:r>
      <w:r>
        <w:t xml:space="preserve">17 engineered features (10 matching the production classifier’s feature set, plus 7 additional text-derived and interaction features).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Models evaluated:</w:t>
      </w:r>
      <w:r>
        <w:t xml:space="preserve"> </w:t>
      </w:r>
      <w:r>
        <w:t xml:space="preserve">XGBoost, CatBoost, LightGBM, Random Forest, Logistic Regression, SVM (RBF), KNN — each with one fixed, untuned hyperparameter configuration, identical partial class-balanced sample weighting (power=0.3) applied to all except KNN (a scikit-learn library limitation, not a methodological choice).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 1 — Cross-validation:</w:t>
      </w:r>
      <w:r>
        <w:t xml:space="preserve"> </w:t>
      </w:r>
      <w:r>
        <w:t xml:space="preserve">5-fold stratified CV on the training dataset itself.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 2 — Independent validation:</w:t>
      </w:r>
      <w:r>
        <w:t xml:space="preserve"> </w:t>
      </w:r>
      <w:r>
        <w:t xml:space="preserve">a separate 5,000-row dataset, generated with a different random seed, never used in training, uploaded and scored via the live prediction endpoint.</w:t>
      </w:r>
    </w:p>
    <w:p>
      <w:r>
        <w:pict>
          <v:rect style="width:0;height:1.5pt" o:hralign="center" o:hrstd="t" o:hr="t"/>
        </w:pict>
      </w:r>
    </w:p>
    <w:bookmarkEnd w:id="10"/>
    <w:bookmarkStart w:id="13" w:name="results"/>
    <w:p>
      <w:pPr>
        <w:pStyle w:val="Heading2"/>
      </w:pPr>
      <w:r>
        <w:t xml:space="preserve">3. Results</w:t>
      </w:r>
    </w:p>
    <w:bookmarkStart w:id="11" w:name="Xf7f24103ac3bc2d14b2efd6c5340e17007b6b3a"/>
    <w:p>
      <w:pPr>
        <w:pStyle w:val="Heading3"/>
      </w:pPr>
      <w:r>
        <w:t xml:space="preserve">3.1 Cross-validation (10,000-row training set, 5-fold)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F1 (macro)</w:t>
            </w:r>
          </w:p>
        </w:tc>
        <w:tc>
          <w:tcPr/>
          <w:p>
            <w:pPr>
              <w:pStyle w:val="Compact"/>
            </w:pPr>
            <w:r>
              <w:t xml:space="preserve">FP F1</w:t>
            </w:r>
          </w:p>
        </w:tc>
        <w:tc>
          <w:tcPr/>
          <w:p>
            <w:pPr>
              <w:pStyle w:val="Compact"/>
            </w:pPr>
            <w:r>
              <w:t xml:space="preserve">NR F1</w:t>
            </w:r>
          </w:p>
        </w:tc>
        <w:tc>
          <w:tcPr/>
          <w:p>
            <w:pPr>
              <w:pStyle w:val="Compact"/>
            </w:pPr>
            <w:r>
              <w:t xml:space="preserve">TP F1</w:t>
            </w:r>
          </w:p>
        </w:tc>
        <w:tc>
          <w:tcPr/>
          <w:p>
            <w:pPr>
              <w:pStyle w:val="Compact"/>
            </w:pPr>
            <w:r>
              <w:t xml:space="preserve">Train Time</w:t>
            </w:r>
          </w:p>
        </w:tc>
        <w:tc>
          <w:tcPr/>
          <w:p>
            <w:pPr>
              <w:pStyle w:val="Compact"/>
            </w:pPr>
            <w:r>
              <w:t xml:space="preserve">Infer/Ticket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70.2% (±0.8%)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0.621</w:t>
            </w:r>
          </w:p>
        </w:tc>
        <w:tc>
          <w:tcPr/>
          <w:p>
            <w:pPr>
              <w:pStyle w:val="Compact"/>
            </w:pPr>
            <w:r>
              <w:t xml:space="preserve">0.816</w:t>
            </w:r>
          </w:p>
        </w:tc>
        <w:tc>
          <w:tcPr/>
          <w:p>
            <w:pPr>
              <w:pStyle w:val="Compact"/>
            </w:pPr>
            <w:r>
              <w:t xml:space="preserve">0.386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  <w:tc>
          <w:tcPr/>
          <w:p>
            <w:pPr>
              <w:pStyle w:val="Compact"/>
            </w:pPr>
            <w:r>
              <w:t xml:space="preserve">111.7ms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0.001ms</w:t>
            </w:r>
          </w:p>
        </w:tc>
        <w:tc>
          <w:tcPr/>
          <w:p>
            <w:pPr>
              <w:pStyle w:val="Compact"/>
            </w:pPr>
            <w:r>
              <w:t xml:space="preserve">488.0KB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70.0% (±1.0%)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0.621</w:t>
            </w:r>
          </w:p>
        </w:tc>
        <w:tc>
          <w:tcPr/>
          <w:p>
            <w:pPr>
              <w:pStyle w:val="Compact"/>
            </w:pPr>
            <w:r>
              <w:t xml:space="preserve">0.815</w:t>
            </w:r>
          </w:p>
        </w:tc>
        <w:tc>
          <w:tcPr/>
          <w:p>
            <w:pPr>
              <w:pStyle w:val="Compact"/>
            </w:pPr>
            <w:r>
              <w:t xml:space="preserve">0.389</w:t>
            </w:r>
          </w:p>
        </w:tc>
        <w:tc>
          <w:tcPr/>
          <w:p>
            <w:pPr>
              <w:pStyle w:val="Compact"/>
            </w:pPr>
            <w:r>
              <w:t xml:space="preserve">0.659</w:t>
            </w:r>
          </w:p>
        </w:tc>
        <w:tc>
          <w:tcPr/>
          <w:p>
            <w:pPr>
              <w:pStyle w:val="Compact"/>
            </w:pPr>
            <w:r>
              <w:t xml:space="preserve">408.1ms</w:t>
            </w:r>
          </w:p>
        </w:tc>
        <w:tc>
          <w:tcPr/>
          <w:p>
            <w:pPr>
              <w:pStyle w:val="Compact"/>
            </w:pPr>
            <w:r>
              <w:t xml:space="preserve">0.002ms</w:t>
            </w:r>
          </w:p>
        </w:tc>
        <w:tc>
          <w:tcPr/>
          <w:p>
            <w:pPr>
              <w:pStyle w:val="Compact"/>
            </w:pPr>
            <w:r>
              <w:t xml:space="preserve">508.3KB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CatBoost</w:t>
            </w:r>
          </w:p>
        </w:tc>
        <w:tc>
          <w:tcPr/>
          <w:p>
            <w:pPr>
              <w:pStyle w:val="Compact"/>
            </w:pPr>
            <w:r>
              <w:t xml:space="preserve">70.4% (±0.8%)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0.356</w:t>
            </w: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  <w:tc>
          <w:tcPr/>
          <w:p>
            <w:pPr>
              <w:pStyle w:val="Compact"/>
            </w:pPr>
            <w:r>
              <w:t xml:space="preserve">150.7ms</w:t>
            </w:r>
          </w:p>
        </w:tc>
        <w:tc>
          <w:tcPr/>
          <w:p>
            <w:pPr>
              <w:pStyle w:val="Compact"/>
            </w:pPr>
            <w:r>
              <w:t xml:space="preserve">0.003ms</w:t>
            </w:r>
          </w:p>
        </w:tc>
        <w:tc>
          <w:tcPr/>
          <w:p>
            <w:pPr>
              <w:pStyle w:val="Compact"/>
            </w:pPr>
            <w:r>
              <w:t xml:space="preserve">64.9KB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t xml:space="preserve">68.8% (±0.5%)</w:t>
            </w:r>
          </w:p>
        </w:tc>
        <w:tc>
          <w:tcPr/>
          <w:p>
            <w:pPr>
              <w:pStyle w:val="Compact"/>
            </w:pPr>
            <w:r>
              <w:t xml:space="preserve">0.578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  <w:tc>
          <w:tcPr/>
          <w:p>
            <w:pPr>
              <w:pStyle w:val="Compact"/>
            </w:pPr>
            <w:r>
              <w:t xml:space="preserve">0.657</w:t>
            </w:r>
          </w:p>
        </w:tc>
        <w:tc>
          <w:tcPr/>
          <w:p>
            <w:pPr>
              <w:pStyle w:val="Compact"/>
            </w:pPr>
            <w:r>
              <w:t xml:space="preserve">4743.6ms</w:t>
            </w:r>
          </w:p>
        </w:tc>
        <w:tc>
          <w:tcPr/>
          <w:p>
            <w:pPr>
              <w:pStyle w:val="Compact"/>
            </w:pPr>
            <w:r>
              <w:t xml:space="preserve">0.161ms</w:t>
            </w:r>
          </w:p>
        </w:tc>
        <w:tc>
          <w:tcPr/>
          <w:p>
            <w:pPr>
              <w:pStyle w:val="Compact"/>
            </w:pPr>
            <w:r>
              <w:t xml:space="preserve">1002.6KB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68.9% (±0.6%)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0.807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0.656</w:t>
            </w:r>
          </w:p>
        </w:tc>
        <w:tc>
          <w:tcPr/>
          <w:p>
            <w:pPr>
              <w:pStyle w:val="Compact"/>
            </w:pPr>
            <w:r>
              <w:t xml:space="preserve">117.4ms</w:t>
            </w:r>
          </w:p>
        </w:tc>
        <w:tc>
          <w:tcPr/>
          <w:p>
            <w:pPr>
              <w:pStyle w:val="Compact"/>
            </w:pPr>
            <w:r>
              <w:t xml:space="preserve">0.009ms</w:t>
            </w:r>
          </w:p>
        </w:tc>
        <w:tc>
          <w:tcPr/>
          <w:p>
            <w:pPr>
              <w:pStyle w:val="Compact"/>
            </w:pPr>
            <w:r>
              <w:t xml:space="preserve">1036.4KB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68.1% (±0.4%)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0.805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0.651</w:t>
            </w:r>
          </w:p>
        </w:tc>
        <w:tc>
          <w:tcPr/>
          <w:p>
            <w:pPr>
              <w:pStyle w:val="Compact"/>
            </w:pPr>
            <w:r>
              <w:t xml:space="preserve">86.9ms</w:t>
            </w:r>
          </w:p>
        </w:tc>
        <w:tc>
          <w:tcPr/>
          <w:p>
            <w:pPr>
              <w:pStyle w:val="Compact"/>
            </w:pPr>
            <w:r>
              <w:t xml:space="preserve">0.000ms</w:t>
            </w:r>
          </w:p>
        </w:tc>
        <w:tc>
          <w:tcPr/>
          <w:p>
            <w:pPr>
              <w:pStyle w:val="Compact"/>
            </w:pPr>
            <w:r>
              <w:t xml:space="preserve">2.1KB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67.0% (±0.3%)</w:t>
            </w:r>
          </w:p>
        </w:tc>
        <w:tc>
          <w:tcPr/>
          <w:p>
            <w:pPr>
              <w:pStyle w:val="Compact"/>
            </w:pPr>
            <w:r>
              <w:t xml:space="preserve">0.541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0.212</w:t>
            </w:r>
          </w:p>
        </w:tc>
        <w:tc>
          <w:tcPr/>
          <w:p>
            <w:pPr>
              <w:pStyle w:val="Compact"/>
            </w:pPr>
            <w:r>
              <w:t xml:space="preserve">0.614</w:t>
            </w:r>
          </w:p>
        </w:tc>
        <w:tc>
          <w:tcPr/>
          <w:p>
            <w:pPr>
              <w:pStyle w:val="Compact"/>
            </w:pPr>
            <w:r>
              <w:t xml:space="preserve">1.2ms</w:t>
            </w:r>
          </w:p>
        </w:tc>
        <w:tc>
          <w:tcPr/>
          <w:p>
            <w:pPr>
              <w:pStyle w:val="Compact"/>
            </w:pPr>
            <w:r>
              <w:t xml:space="preserve">0.035ms</w:t>
            </w:r>
          </w:p>
        </w:tc>
        <w:tc>
          <w:tcPr/>
          <w:p>
            <w:pPr>
              <w:pStyle w:val="Compact"/>
            </w:pPr>
            <w:r>
              <w:t xml:space="preserve">1407.9KB</w:t>
            </w:r>
          </w:p>
        </w:tc>
      </w:tr>
    </w:tbl>
    <w:bookmarkEnd w:id="11"/>
    <w:bookmarkStart w:id="12" w:name="X006fbe0f860aae0e9a8c5904358f494060d61eb"/>
    <w:p>
      <w:pPr>
        <w:pStyle w:val="Heading3"/>
      </w:pPr>
      <w:r>
        <w:t xml:space="preserve">3.2 Independent validation (5,000 rows, different random seed, never trained 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F1 (macro)</w:t>
            </w:r>
          </w:p>
        </w:tc>
        <w:tc>
          <w:tcPr/>
          <w:p>
            <w:pPr>
              <w:pStyle w:val="Compact"/>
            </w:pPr>
            <w:r>
              <w:t xml:space="preserve">FP F1</w:t>
            </w:r>
          </w:p>
        </w:tc>
        <w:tc>
          <w:tcPr/>
          <w:p>
            <w:pPr>
              <w:pStyle w:val="Compact"/>
            </w:pPr>
            <w:r>
              <w:t xml:space="preserve">NR F1</w:t>
            </w:r>
          </w:p>
        </w:tc>
        <w:tc>
          <w:tcPr/>
          <w:p>
            <w:pPr>
              <w:pStyle w:val="Compact"/>
            </w:pPr>
            <w:r>
              <w:t xml:space="preserve">TP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70.8%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0.623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0.383</w:t>
            </w:r>
            <w:r>
              <w:t xml:space="preserve"> </w:t>
            </w:r>
            <w:r>
              <w:t xml:space="preserve">(tied)</w:t>
            </w: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70.3%</w:t>
            </w:r>
          </w:p>
        </w:tc>
        <w:tc>
          <w:tcPr/>
          <w:p>
            <w:pPr>
              <w:pStyle w:val="Compact"/>
            </w:pPr>
            <w:r>
              <w:t xml:space="preserve">0.619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0.383</w:t>
            </w:r>
            <w:r>
              <w:t xml:space="preserve"> </w:t>
            </w:r>
            <w:r>
              <w:t xml:space="preserve">(tied)</w:t>
            </w:r>
          </w:p>
        </w:tc>
        <w:tc>
          <w:tcPr/>
          <w:p>
            <w:pPr>
              <w:pStyle w:val="Compact"/>
            </w:pPr>
            <w:r>
              <w:t xml:space="preserve">0.655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CatBoost</w:t>
            </w:r>
          </w:p>
        </w:tc>
        <w:tc>
          <w:tcPr/>
          <w:p>
            <w:pPr>
              <w:pStyle w:val="Compact"/>
            </w:pPr>
            <w:r>
              <w:t xml:space="preserve">70.8%</w:t>
            </w:r>
          </w:p>
        </w:tc>
        <w:tc>
          <w:tcPr/>
          <w:p>
            <w:pPr>
              <w:pStyle w:val="Compact"/>
            </w:pPr>
            <w:r>
              <w:t xml:space="preserve">0.612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SVM (RBF)</w:t>
            </w:r>
          </w:p>
        </w:tc>
        <w:tc>
          <w:tcPr/>
          <w:p>
            <w:pPr>
              <w:pStyle w:val="Compact"/>
            </w:pPr>
            <w:r>
              <w:t xml:space="preserve">69.3%</w:t>
            </w:r>
          </w:p>
        </w:tc>
        <w:tc>
          <w:tcPr/>
          <w:p>
            <w:pPr>
              <w:pStyle w:val="Compact"/>
            </w:pPr>
            <w:r>
              <w:t xml:space="preserve">0.576</w:t>
            </w:r>
          </w:p>
        </w:tc>
        <w:tc>
          <w:tcPr/>
          <w:p>
            <w:pPr>
              <w:pStyle w:val="Compact"/>
            </w:pPr>
            <w:r>
              <w:t xml:space="preserve">0.817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69.2%</w:t>
            </w:r>
          </w:p>
        </w:tc>
        <w:tc>
          <w:tcPr/>
          <w:p>
            <w:pPr>
              <w:pStyle w:val="Compact"/>
            </w:pPr>
            <w:r>
              <w:t xml:space="preserve">0.546</w:t>
            </w:r>
          </w:p>
        </w:tc>
        <w:tc>
          <w:tcPr/>
          <w:p>
            <w:pPr>
              <w:pStyle w:val="Compact"/>
            </w:pPr>
            <w:r>
              <w:t xml:space="preserve">0.813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  <w:tc>
          <w:tcPr/>
          <w:p>
            <w:pPr>
              <w:pStyle w:val="Compact"/>
            </w:pPr>
            <w:r>
              <w:t xml:space="preserve">0.658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68.8%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  <w:tc>
          <w:tcPr/>
          <w:p>
            <w:pPr>
              <w:pStyle w:val="Compact"/>
            </w:pPr>
            <w:r>
              <w:t xml:space="preserve">0.174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</w:t>
            </w:r>
          </w:p>
        </w:tc>
        <w:tc>
          <w:tcPr/>
          <w:p>
            <w:pPr>
              <w:pStyle w:val="Compact"/>
            </w:pPr>
            <w:r>
              <w:t xml:space="preserve">67.0%</w:t>
            </w:r>
          </w:p>
        </w:tc>
        <w:tc>
          <w:tcPr/>
          <w:p>
            <w:pPr>
              <w:pStyle w:val="Compact"/>
            </w:pPr>
            <w:r>
              <w:t xml:space="preserve">0.540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0.202</w:t>
            </w:r>
          </w:p>
        </w:tc>
        <w:tc>
          <w:tcPr/>
          <w:p>
            <w:pPr>
              <w:pStyle w:val="Compact"/>
            </w:pPr>
            <w:r>
              <w:t xml:space="preserve">0.615</w:t>
            </w:r>
          </w:p>
        </w:tc>
      </w:tr>
    </w:tbl>
    <w:p>
      <w:pPr>
        <w:pStyle w:val="BodyText"/>
      </w:pPr>
      <w:r>
        <w:t xml:space="preserve">Cross-model agreement on this independent set: 70.5% of tickets received the identical verdict from all 7 models (unanimous), indicating the majority of tickets are unambiguous regardless of model choice.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observations"/>
    <w:p>
      <w:pPr>
        <w:pStyle w:val="Heading2"/>
      </w:pPr>
      <w:r>
        <w:t xml:space="preserve">4. Observations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XGBoost has the highest or tied-highest F1 (macro) in both evaluations</w:t>
      </w:r>
      <w:r>
        <w:t xml:space="preserve"> </w:t>
      </w:r>
      <w:r>
        <w:t xml:space="preserve">— 0.621 (tied with LightGBM) in cross-validation, 0.623 (highest, narrowly) in independent validation.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XGBoost and LightGBM are consistently the top two on F1 (macro)</w:t>
      </w:r>
      <w:r>
        <w:t xml:space="preserve"> </w:t>
      </w:r>
      <w:r>
        <w:t xml:space="preserve">across both evaluations, with CatBoost close behind but consistently weaker specifically on the NEEDS_REVIEW class (0.356 and 0.347 vs. XGBoost/LightGBM’s ~0.38-0.39 in both evaluations) despite occasionally leading on raw accuracy.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XGBoost has the fastest inference time</w:t>
      </w:r>
      <w:r>
        <w:t xml:space="preserve"> </w:t>
      </w:r>
      <w:r>
        <w:t xml:space="preserve">of all 7 models in cross-validation (0.001ms/ticket), a property of the algorithm itself and therefore expected to hold regardless of which dataset is 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accuracy differences among the top 3 models (XGBoost, CatBoost, LightGBM) are small</w:t>
      </w:r>
      <w:r>
        <w:t xml:space="preserve"> </w:t>
      </w:r>
      <w:r>
        <w:t xml:space="preserve">— within approximately 0.5 percentage points of each other in both evaluations — and are comparable in magnitude to the cross-validation fold-to-fold standard deviations (±0.8-1.0%). These differences should not be interpreted as a large or decisive margin.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 Forest, Logistic Regression, SVM, and KNN are consistently and substantially behind</w:t>
      </w:r>
      <w:r>
        <w:t xml:space="preserve"> </w:t>
      </w:r>
      <w:r>
        <w:t xml:space="preserve">the top 3 on F1 (macro) and NEEDS_REVIEW F1 specifically, in both evaluations — this gap is larger and more consistent than the gap among the top 3, and is the clearer, more decisive finding in this comparison.</w:t>
      </w:r>
    </w:p>
    <w:p>
      <w:r>
        <w:pict>
          <v:rect style="width:0;height:1.5pt" o:hralign="center" o:hrstd="t" o:hr="t"/>
        </w:pict>
      </w:r>
    </w:p>
    <w:bookmarkEnd w:id="14"/>
    <w:bookmarkStart w:id="15" w:name="justification-for-xgboost"/>
    <w:p>
      <w:pPr>
        <w:pStyle w:val="Heading2"/>
      </w:pPr>
      <w:r>
        <w:t xml:space="preserve">5. Justification for XGBoost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Best or tied-best F1 (macro)</w:t>
      </w:r>
      <w:r>
        <w:t xml:space="preserve"> </w:t>
      </w:r>
      <w:r>
        <w:t xml:space="preserve">in both the cross-validation benchmark and the independent validation run — the only model to hold this position in both evaluations.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Fastest inference latency</w:t>
      </w:r>
      <w:r>
        <w:t xml:space="preserve"> </w:t>
      </w:r>
      <w:r>
        <w:t xml:space="preserve">among all models tested, satisfying the system’s non-functional requirement for a millisecond-latency, offline-capable classifier fallback.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Reasonable model size</w:t>
      </w:r>
      <w:r>
        <w:t xml:space="preserve"> </w:t>
      </w:r>
      <w:r>
        <w:t xml:space="preserve">(488.0KB) — smaller than Random Forest, SVM, or KNN, though larger than CatBoost’s 64.9KB.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Consistent per-class performance</w:t>
      </w:r>
      <w:r>
        <w:t xml:space="preserve"> </w:t>
      </w:r>
      <w:r>
        <w:t xml:space="preserve">— among the top 2-3 models on FALSE_POSITIVE, NEEDS_REVIEW, and TRUE_POSITIVE F1 individually in both evaluations, rather than leading on one class at the expense of another.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Already integrated</w:t>
      </w:r>
      <w:r>
        <w:t xml:space="preserve"> </w:t>
      </w:r>
      <w:r>
        <w:t xml:space="preserve">into the production pipeline (</w:t>
      </w:r>
      <w:r>
        <w:rPr>
          <w:rStyle w:val="VerbatimChar"/>
        </w:rPr>
        <w:t xml:space="preserve">backend/pipeline/classifier.py</w:t>
      </w:r>
      <w:r>
        <w:t xml:space="preserve">), which is a relevant practical consideration alongside the metrics above.</w:t>
      </w:r>
    </w:p>
    <w:p>
      <w:r>
        <w:pict>
          <v:rect style="width:0;height:1.5pt" o:hralign="center" o:hrstd="t" o:hr="t"/>
        </w:pict>
      </w:r>
    </w:p>
    <w:bookmarkEnd w:id="15"/>
    <w:bookmarkStart w:id="16" w:name="X485d9539b24a3cc1a238ff556bc36e43105deb4"/>
    <w:p>
      <w:pPr>
        <w:pStyle w:val="Heading2"/>
      </w:pPr>
      <w:r>
        <w:t xml:space="preserve">6. Limitations and Scope of This Justification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margin over LightGBM and CatBoost is narrow and within the range of measurement noise</w:t>
      </w:r>
      <w:r>
        <w:t xml:space="preserve"> </w:t>
      </w:r>
      <w:r>
        <w:t xml:space="preserve">observed across cross-validation folds. This justification identifies XGBoost as a reasonable, defensible choice among a closely-matched top tier, not as a model with a large, unambiguous performance advantage.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 figures are derived from synthetic data.</w:t>
      </w:r>
      <w:r>
        <w:t xml:space="preserve"> </w:t>
      </w:r>
      <w:r>
        <w:t xml:space="preserve">Both the training set and the independent validation set are generated datasets, not real SIEM alerts or analyst dispositions. Per the governing Technical Solution Document, production-grade validation is contingent on Option A shadow-mode data (analyst-confirmed dispositions on real alerts). This justification should be revisited once that data is available.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NEEDS_REVIEW performance remains modest in absolute terms</w:t>
      </w:r>
      <w:r>
        <w:t xml:space="preserve"> </w:t>
      </w:r>
      <w:r>
        <w:t xml:space="preserve">across all 7 models (best F1 ≈ 0.38-0.39) — this reflects a genuinely hard classification problem, common to all models tested, rather than a limitation specific to any one of them.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ranking has shown some sensitivity to configuration in prior testing</w:t>
      </w:r>
      <w:r>
        <w:t xml:space="preserve"> </w:t>
      </w:r>
      <w:r>
        <w:t xml:space="preserve">(dataset composition, class-weighting parameters). The result in this document reflects the current, fixed configuration described in Section 2; a materially different configuration (e.g., stronger emphasis on NEEDS_REVIEW recall) could alter the ranking among the top 3 models.</w:t>
      </w:r>
    </w:p>
    <w:p>
      <w:r>
        <w:pict>
          <v:rect style="width:0;height:1.5pt" o:hralign="center" o:hrstd="t" o:hr="t"/>
        </w:pict>
      </w:r>
    </w:p>
    <w:bookmarkEnd w:id="16"/>
    <w:bookmarkStart w:id="17" w:name="reproducibility"/>
    <w:p>
      <w:pPr>
        <w:pStyle w:val="Heading2"/>
      </w:pPr>
      <w:r>
        <w:t xml:space="preserve">7. Reproducibility</w:t>
      </w:r>
    </w:p>
    <w:p>
      <w:pPr>
        <w:pStyle w:val="SourceCode"/>
      </w:pPr>
      <w:r>
        <w:rPr>
          <w:rStyle w:val="VerbatimChar"/>
        </w:rPr>
        <w:t xml:space="preserve">cd backend</w:t>
      </w:r>
      <w:r>
        <w:br/>
      </w:r>
      <w:r>
        <w:rPr>
          <w:rStyle w:val="VerbatimChar"/>
        </w:rPr>
        <w:t xml:space="preserve">python -m model_comparison.generate_tickets_v2       # regenerates tickets_10000.ndjson</w:t>
      </w:r>
      <w:r>
        <w:br/>
      </w:r>
      <w:r>
        <w:rPr>
          <w:rStyle w:val="VerbatimChar"/>
        </w:rPr>
        <w:t xml:space="preserve">python -m model_comparison.compare                     # regenerates comparison_results.json (Section 3.1)</w:t>
      </w:r>
    </w:p>
    <w:p>
      <w:pPr>
        <w:pStyle w:val="FirstParagraph"/>
      </w:pPr>
      <w:r>
        <w:t xml:space="preserve">Independent validation (Section 3.2) was performed by uploading</w:t>
      </w:r>
      <w:r>
        <w:t xml:space="preserve"> </w:t>
      </w:r>
      <w:r>
        <w:rPr>
          <w:rStyle w:val="VerbatimChar"/>
        </w:rPr>
        <w:t xml:space="preserve">test_dataset_5000_labeled.xlsx</w:t>
      </w:r>
      <w:r>
        <w:t xml:space="preserve"> </w:t>
      </w:r>
      <w:r>
        <w:t xml:space="preserve">(generated via a separate script with a distinct random seed) through the</w:t>
      </w:r>
      <w:r>
        <w:t xml:space="preserve"> </w:t>
      </w:r>
      <w:r>
        <w:rPr>
          <w:rStyle w:val="VerbatimChar"/>
        </w:rPr>
        <w:t xml:space="preserve">POST /api/model-comparison/predict-excel</w:t>
      </w:r>
      <w:r>
        <w:t xml:space="preserve"> </w:t>
      </w:r>
      <w:r>
        <w:t xml:space="preserve">endpoint, which scores predictions from all 7 models — trained once on</w:t>
      </w:r>
      <w:r>
        <w:t xml:space="preserve"> </w:t>
      </w:r>
      <w:r>
        <w:rPr>
          <w:rStyle w:val="VerbatimChar"/>
        </w:rPr>
        <w:t xml:space="preserve">tickets_10000.ndjson</w:t>
      </w:r>
      <w:r>
        <w:t xml:space="preserve"> </w:t>
      </w:r>
      <w:r>
        <w:t xml:space="preserve">— against the uploaded file’s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column.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Triage Classifier — Model Selection Justification</dc:title>
  <dc:creator>Internal Technical Note</dc:creator>
  <cp:keywords/>
  <dcterms:created xsi:type="dcterms:W3CDTF">2026-07-24T00:37:59Z</dcterms:created>
  <dcterms:modified xsi:type="dcterms:W3CDTF">2026-07-24T00:37:59Z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— for internal review</vt:lpwstr>
  </property>
</Properties>
</file>