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SOC Triage Classifier Model Comparison</w:t>
      </w:r>
    </w:p>
    <w:p>
      <w:pPr>
        <w:pStyle w:val="Author"/>
      </w:pPr>
      <w:r>
        <w:t xml:space="preserve">Internal Technical Note</w:t>
      </w:r>
    </w:p>
    <w:p>
      <w:pPr>
        <w:pStyle w:val="Date"/>
      </w:pPr>
      <w:r>
        <w:t xml:space="preserve">Draft — for internal review</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32" w:name="soc-triage-classifier-7-model-comparison"/>
    <w:p>
      <w:pPr>
        <w:pStyle w:val="Heading1"/>
      </w:pPr>
      <w:r>
        <w:t xml:space="preserve">SOC Triage Classifier — 7-Model Comparison</w:t>
      </w:r>
    </w:p>
    <w:p>
      <w:pPr>
        <w:pStyle w:val="FirstParagraph"/>
      </w:pPr>
      <w:r>
        <w:rPr>
          <w:b/>
          <w:bCs/>
        </w:rPr>
        <w:t xml:space="preserve">Document type:</w:t>
      </w:r>
      <w:r>
        <w:t xml:space="preserve"> </w:t>
      </w:r>
      <w:r>
        <w:t xml:space="preserve">Internal technical note</w:t>
      </w:r>
      <w:r>
        <w:t xml:space="preserve"> </w:t>
      </w:r>
      <w:r>
        <w:rPr>
          <w:b/>
          <w:bCs/>
        </w:rPr>
        <w:t xml:space="preserve">Status:</w:t>
      </w:r>
      <w:r>
        <w:t xml:space="preserve"> </w:t>
      </w:r>
      <w:r>
        <w:t xml:space="preserve">Draft</w:t>
      </w:r>
      <w:r>
        <w:t xml:space="preserve"> </w:t>
      </w:r>
      <w:r>
        <w:rPr>
          <w:b/>
          <w:bCs/>
        </w:rPr>
        <w:t xml:space="preserve">Scope:</w:t>
      </w:r>
      <w:r>
        <w:t xml:space="preserve"> </w:t>
      </w:r>
      <w:r>
        <w:t xml:space="preserve">ML classifier stage only (Stage 2 of the 7-stage triage pipeline). Does not cover RAG retrieval, LLM reasoning, guardrails, escalation policy, or SIR generation.</w:t>
      </w:r>
    </w:p>
    <w:p>
      <w:r>
        <w:pict>
          <v:rect style="width:0;height:1.5pt" o:hralign="center" o:hrstd="t" o:hr="t"/>
        </w:pict>
      </w:r>
    </w:p>
    <w:bookmarkStart w:id="9" w:name="purpose"/>
    <w:p>
      <w:pPr>
        <w:pStyle w:val="Heading2"/>
      </w:pPr>
      <w:r>
        <w:t xml:space="preserve">1. Purpose</w:t>
      </w:r>
    </w:p>
    <w:p>
      <w:pPr>
        <w:pStyle w:val="FirstParagraph"/>
      </w:pPr>
      <w:r>
        <w:t xml:space="preserve">This document records the methodology, configuration, results, and limitations of a 7-model comparison evaluating candidate classifiers for the SOC Level-1 triage system’s ML classification stage. All results are reproducible from the code in</w:t>
      </w:r>
      <w:r>
        <w:t xml:space="preserve"> </w:t>
      </w:r>
      <w:r>
        <w:rPr>
          <w:rStyle w:val="VerbatimChar"/>
        </w:rPr>
        <w:t xml:space="preserve">backend/model_comparison/</w:t>
      </w:r>
      <w:r>
        <w:t xml:space="preserve">.</w:t>
      </w:r>
    </w:p>
    <w:p>
      <w:pPr>
        <w:pStyle w:val="BodyText"/>
      </w:pPr>
      <w:r>
        <w:rPr>
          <w:b/>
          <w:bCs/>
        </w:rPr>
        <w:t xml:space="preserve">What this is NOT:</w:t>
      </w:r>
      <w:r>
        <w:t xml:space="preserve"> </w:t>
      </w:r>
      <w:r>
        <w:t xml:space="preserve">this is not an evaluation on real production data. All results are on a synthetic dataset. It is not a claim that any model here is production-ready — it is a controlled comparison intended to inform, not replace, evaluation against real analyst-confirmed dispositions once available.</w:t>
      </w:r>
    </w:p>
    <w:p>
      <w:r>
        <w:pict>
          <v:rect style="width:0;height:1.5pt" o:hralign="center" o:hrstd="t" o:hr="t"/>
        </w:pict>
      </w:r>
    </w:p>
    <w:bookmarkEnd w:id="9"/>
    <w:bookmarkStart w:id="15" w:name="methodology"/>
    <w:p>
      <w:pPr>
        <w:pStyle w:val="Heading2"/>
      </w:pPr>
      <w:r>
        <w:t xml:space="preserve">2. Methodology</w:t>
      </w:r>
    </w:p>
    <w:bookmarkStart w:id="10" w:name="data"/>
    <w:p>
      <w:pPr>
        <w:pStyle w:val="Heading3"/>
      </w:pPr>
      <w:r>
        <w:t xml:space="preserve">2.1 Data</w:t>
      </w:r>
    </w:p>
    <w:p>
      <w:pPr>
        <w:pStyle w:val="Compact"/>
        <w:numPr>
          <w:ilvl w:val="0"/>
          <w:numId w:val="1001"/>
        </w:numPr>
      </w:pPr>
      <w:r>
        <w:rPr>
          <w:b/>
          <w:bCs/>
        </w:rPr>
        <w:t xml:space="preserve">Dataset:</w:t>
      </w:r>
      <w:r>
        <w:t xml:space="preserve"> </w:t>
      </w:r>
      <w:r>
        <w:rPr>
          <w:rStyle w:val="VerbatimChar"/>
        </w:rPr>
        <w:t xml:space="preserve">model_comparison/data/tickets_4000.ndjson</w:t>
      </w:r>
      <w:r>
        <w:t xml:space="preserve"> </w:t>
      </w:r>
      <w:r>
        <w:t xml:space="preserve">— 4,000 synthetic SOC tickets, generated by</w:t>
      </w:r>
      <w:r>
        <w:t xml:space="preserve"> </w:t>
      </w:r>
      <w:r>
        <w:rPr>
          <w:rStyle w:val="VerbatimChar"/>
        </w:rPr>
        <w:t xml:space="preserve">generate_tickets_v2.py</w:t>
      </w:r>
      <w:r>
        <w:t xml:space="preserve">.</w:t>
      </w:r>
    </w:p>
    <w:p>
      <w:pPr>
        <w:pStyle w:val="Compact"/>
        <w:numPr>
          <w:ilvl w:val="0"/>
          <w:numId w:val="1001"/>
        </w:numPr>
      </w:pPr>
      <w:r>
        <w:rPr>
          <w:b/>
          <w:bCs/>
        </w:rPr>
        <w:t xml:space="preserve">Class distribution:</w:t>
      </w:r>
      <w:r>
        <w:t xml:space="preserve"> </w:t>
      </w:r>
      <w:r>
        <w:t xml:space="preserve">55% FALSE_POSITIVE, 25% TRUE_POSITIVE, 20% NEEDS_REVIEW — deliberately imbalanced to mirror a realistic SOC alert population.</w:t>
      </w:r>
    </w:p>
    <w:p>
      <w:pPr>
        <w:pStyle w:val="Compact"/>
        <w:numPr>
          <w:ilvl w:val="0"/>
          <w:numId w:val="1001"/>
        </w:numPr>
      </w:pPr>
      <w:r>
        <w:rPr>
          <w:b/>
          <w:bCs/>
        </w:rPr>
        <w:t xml:space="preserve">Label generation:</w:t>
      </w:r>
      <w:r>
        <w:t xml:space="preserve"> </w:t>
      </w:r>
      <w:r>
        <w:t xml:space="preserve">labels are sampled probabilistically from a per-scenario base distribution, then adjusted by feature conditions (severity, user type, known-tool match, domain-controller targeting, historical true/false-positive counts, time of day) before final sampling — not deterministically assigned per template. This ensures no single field (e.g. the detection rule name) perfectly predicts the outcome, so the comparison measures genuine feature-based learning rather than pattern memorization.</w:t>
      </w:r>
    </w:p>
    <w:p>
      <w:pPr>
        <w:pStyle w:val="Compact"/>
        <w:numPr>
          <w:ilvl w:val="0"/>
          <w:numId w:val="1001"/>
        </w:numPr>
      </w:pPr>
      <w:r>
        <w:rPr>
          <w:b/>
          <w:bCs/>
        </w:rPr>
        <w:t xml:space="preserve">Sanity check:</w:t>
      </w:r>
      <w:r>
        <w:t xml:space="preserve"> </w:t>
      </w:r>
      <w:r>
        <w:t xml:space="preserve">a shallow decision tree trained on the detection-rule name alone achieves only ~61.8% accuracy (5-fold CV) — well short of the ~95%+ that would indicate the dataset is too easy to differentiate models on.</w:t>
      </w:r>
    </w:p>
    <w:bookmarkEnd w:id="10"/>
    <w:bookmarkStart w:id="11" w:name="features"/>
    <w:p>
      <w:pPr>
        <w:pStyle w:val="Heading3"/>
      </w:pPr>
      <w:r>
        <w:t xml:space="preserve">2.2 Features</w:t>
      </w:r>
    </w:p>
    <w:p>
      <w:pPr>
        <w:pStyle w:val="FirstParagraph"/>
      </w:pPr>
      <w:r>
        <w:t xml:space="preserve">17 engineered features per ticket, computed in</w:t>
      </w:r>
      <w:r>
        <w:t xml:space="preserve"> </w:t>
      </w:r>
      <w:r>
        <w:rPr>
          <w:rStyle w:val="VerbatimChar"/>
        </w:rPr>
        <w:t xml:space="preserve">model_comparison/features.py</w:t>
      </w:r>
      <w:r>
        <w:t xml:space="preserve">:</w:t>
      </w:r>
    </w:p>
    <w:p>
      <w:pPr>
        <w:pStyle w:val="Compact"/>
        <w:numPr>
          <w:ilvl w:val="0"/>
          <w:numId w:val="1002"/>
        </w:numPr>
      </w:pPr>
      <w:r>
        <w:rPr>
          <w:b/>
          <w:bCs/>
        </w:rPr>
        <w:t xml:space="preserve">Original 10</w:t>
      </w:r>
      <w:r>
        <w:t xml:space="preserve"> </w:t>
      </w:r>
      <w:r>
        <w:t xml:space="preserve">(matching the production classifier’s feature set): severity, user type, hour of day, weekend flag, historical true/false-positive counts, MITRE technique code, external-IP flag, known-malicious-tool flag, domain-controller-target flag.</w:t>
      </w:r>
    </w:p>
    <w:p>
      <w:pPr>
        <w:pStyle w:val="Compact"/>
        <w:numPr>
          <w:ilvl w:val="0"/>
          <w:numId w:val="1002"/>
        </w:numPr>
      </w:pPr>
      <w:r>
        <w:rPr>
          <w:b/>
          <w:bCs/>
        </w:rPr>
        <w:t xml:space="preserve">7 additional</w:t>
      </w:r>
      <w:r>
        <w:t xml:space="preserve">, added specifically to give models more to differentiate on: command-line length, command entropy (obfuscation signal), obfuscation-keyword flag, scripting-process flag, broader MITRE tactic bucket, and two explicit interaction terms (known-tool × domain-controller-target, severity × external-IP).</w:t>
      </w:r>
    </w:p>
    <w:bookmarkEnd w:id="11"/>
    <w:bookmarkStart w:id="12" w:name="models-compared"/>
    <w:p>
      <w:pPr>
        <w:pStyle w:val="Heading3"/>
      </w:pPr>
      <w:r>
        <w:t xml:space="preserve">2.3 Models compared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Model</w:t>
            </w:r>
          </w:p>
        </w:tc>
        <w:tc>
          <w:tcPr/>
          <w:p>
            <w:pPr>
              <w:pStyle w:val="Compact"/>
            </w:pPr>
            <w:r>
              <w:t xml:space="preserve">Library</w:t>
            </w:r>
          </w:p>
        </w:tc>
        <w:tc>
          <w:tcPr/>
          <w:p>
            <w:pPr>
              <w:pStyle w:val="Compact"/>
            </w:pPr>
            <w:r>
              <w:t xml:space="preserve">Hyperparameters</w:t>
            </w:r>
          </w:p>
        </w:tc>
      </w:tr>
      <w:tr>
        <w:tc>
          <w:tcPr/>
          <w:p>
            <w:pPr>
              <w:pStyle w:val="Compact"/>
            </w:pPr>
            <w:r>
              <w:t xml:space="preserve">XGBoost</w:t>
            </w:r>
          </w:p>
        </w:tc>
        <w:tc>
          <w:tcPr/>
          <w:p>
            <w:pPr>
              <w:pStyle w:val="Compact"/>
            </w:pPr>
            <w:r>
              <w:t xml:space="preserve">xgboost (non-scikit-learn)</w:t>
            </w:r>
          </w:p>
        </w:tc>
        <w:tc>
          <w:tcPr/>
          <w:p>
            <w:pPr>
              <w:pStyle w:val="Compact"/>
            </w:pPr>
            <w:r>
              <w:t xml:space="preserve">n_estimators=100, max_depth=4, learning_rate=0.1</w:t>
            </w:r>
          </w:p>
        </w:tc>
      </w:tr>
      <w:tr>
        <w:tc>
          <w:tcPr/>
          <w:p>
            <w:pPr>
              <w:pStyle w:val="Compact"/>
            </w:pPr>
            <w:r>
              <w:t xml:space="preserve">CatBoost</w:t>
            </w:r>
          </w:p>
        </w:tc>
        <w:tc>
          <w:tcPr/>
          <w:p>
            <w:pPr>
              <w:pStyle w:val="Compact"/>
            </w:pPr>
            <w:r>
              <w:t xml:space="preserve">catboost (non-scikit-learn)</w:t>
            </w:r>
          </w:p>
        </w:tc>
        <w:tc>
          <w:tcPr/>
          <w:p>
            <w:pPr>
              <w:pStyle w:val="Compact"/>
            </w:pPr>
            <w:r>
              <w:t xml:space="preserve">iterations=100, depth=4, learning_rate=0.1</w:t>
            </w:r>
          </w:p>
        </w:tc>
      </w:tr>
      <w:tr>
        <w:tc>
          <w:tcPr/>
          <w:p>
            <w:pPr>
              <w:pStyle w:val="Compact"/>
            </w:pPr>
            <w:r>
              <w:t xml:space="preserve">LightGBM</w:t>
            </w:r>
          </w:p>
        </w:tc>
        <w:tc>
          <w:tcPr/>
          <w:p>
            <w:pPr>
              <w:pStyle w:val="Compact"/>
            </w:pPr>
            <w:r>
              <w:t xml:space="preserve">lightgbm (non-scikit-learn)</w:t>
            </w:r>
          </w:p>
        </w:tc>
        <w:tc>
          <w:tcPr/>
          <w:p>
            <w:pPr>
              <w:pStyle w:val="Compact"/>
            </w:pPr>
            <w:r>
              <w:t xml:space="preserve">n_estimators=100, max_depth=4, learning_rate=0.1</w:t>
            </w:r>
          </w:p>
        </w:tc>
      </w:tr>
      <w:tr>
        <w:tc>
          <w:tcPr/>
          <w:p>
            <w:pPr>
              <w:pStyle w:val="Compact"/>
            </w:pPr>
            <w:r>
              <w:t xml:space="preserve">Random Forest</w:t>
            </w:r>
          </w:p>
        </w:tc>
        <w:tc>
          <w:tcPr/>
          <w:p>
            <w:pPr>
              <w:pStyle w:val="Compact"/>
            </w:pPr>
            <w:r>
              <w:t xml:space="preserve">scikit-learn</w:t>
            </w:r>
          </w:p>
        </w:tc>
        <w:tc>
          <w:tcPr/>
          <w:p>
            <w:pPr>
              <w:pStyle w:val="Compact"/>
            </w:pPr>
            <w:r>
              <w:t xml:space="preserve">n_estimators=100, max_depth=6</w:t>
            </w:r>
          </w:p>
        </w:tc>
      </w:tr>
      <w:tr>
        <w:tc>
          <w:tcPr/>
          <w:p>
            <w:pPr>
              <w:pStyle w:val="Compact"/>
            </w:pPr>
            <w:r>
              <w:t xml:space="preserve">Logistic Regression</w:t>
            </w:r>
          </w:p>
        </w:tc>
        <w:tc>
          <w:tcPr/>
          <w:p>
            <w:pPr>
              <w:pStyle w:val="Compact"/>
            </w:pPr>
            <w:r>
              <w:t xml:space="preserve">scikit-learn</w:t>
            </w:r>
          </w:p>
        </w:tc>
        <w:tc>
          <w:tcPr/>
          <w:p>
            <w:pPr>
              <w:pStyle w:val="Compact"/>
            </w:pPr>
            <w:r>
              <w:t xml:space="preserve">max_iter=1000, StandardScaler pipeline</w:t>
            </w:r>
          </w:p>
        </w:tc>
      </w:tr>
      <w:tr>
        <w:tc>
          <w:tcPr/>
          <w:p>
            <w:pPr>
              <w:pStyle w:val="Compact"/>
            </w:pPr>
            <w:r>
              <w:t xml:space="preserve">SVM (RBF)</w:t>
            </w:r>
          </w:p>
        </w:tc>
        <w:tc>
          <w:tcPr/>
          <w:p>
            <w:pPr>
              <w:pStyle w:val="Compact"/>
            </w:pPr>
            <w:r>
              <w:t xml:space="preserve">scikit-learn</w:t>
            </w:r>
          </w:p>
        </w:tc>
        <w:tc>
          <w:tcPr/>
          <w:p>
            <w:pPr>
              <w:pStyle w:val="Compact"/>
            </w:pPr>
            <w:r>
              <w:t xml:space="preserve">RBF kernel, StandardScaler pipeline</w:t>
            </w:r>
          </w:p>
        </w:tc>
      </w:tr>
      <w:tr>
        <w:tc>
          <w:tcPr/>
          <w:p>
            <w:pPr>
              <w:pStyle w:val="Compact"/>
            </w:pPr>
            <w:r>
              <w:t xml:space="preserve">KNN</w:t>
            </w:r>
          </w:p>
        </w:tc>
        <w:tc>
          <w:tcPr/>
          <w:p>
            <w:pPr>
              <w:pStyle w:val="Compact"/>
            </w:pPr>
            <w:r>
              <w:t xml:space="preserve">scikit-learn</w:t>
            </w:r>
          </w:p>
        </w:tc>
        <w:tc>
          <w:tcPr/>
          <w:p>
            <w:pPr>
              <w:pStyle w:val="Compact"/>
            </w:pPr>
            <w:r>
              <w:t xml:space="preserve">n_neighbors=15, StandardScaler pipeline</w:t>
            </w:r>
          </w:p>
        </w:tc>
      </w:tr>
    </w:tbl>
    <w:p>
      <w:pPr>
        <w:pStyle w:val="BodyText"/>
      </w:pPr>
      <w:r>
        <w:rPr>
          <w:b/>
          <w:bCs/>
        </w:rPr>
        <w:t xml:space="preserve">Fairness principle applied throughout:</w:t>
      </w:r>
      <w:r>
        <w:t xml:space="preserve"> </w:t>
      </w:r>
      <w:r>
        <w:t xml:space="preserve">every model uses one fixed, reasonable, untuned hyperparameter configuration. None was hyperparameter-swept or specially tuned to win. Distance/gradient-sensitive models (Logistic Regression, SVM, KNN) are scaled via</w:t>
      </w:r>
      <w:r>
        <w:t xml:space="preserve"> </w:t>
      </w:r>
      <w:r>
        <w:rPr>
          <w:rStyle w:val="VerbatimChar"/>
        </w:rPr>
        <w:t xml:space="preserve">StandardScaler</w:t>
      </w:r>
      <w:r>
        <w:t xml:space="preserve">; tree-based models are not (split thresholds are scale-invariant, so scaling would be unnecessary, not neutral).</w:t>
      </w:r>
    </w:p>
    <w:bookmarkEnd w:id="12"/>
    <w:bookmarkStart w:id="13" w:name="class-weighting"/>
    <w:p>
      <w:pPr>
        <w:pStyle w:val="Heading3"/>
      </w:pPr>
      <w:r>
        <w:t xml:space="preserve">2.4 Class weighting</w:t>
      </w:r>
    </w:p>
    <w:p>
      <w:pPr>
        <w:pStyle w:val="FirstParagraph"/>
      </w:pPr>
      <w:r>
        <w:t xml:space="preserve">All 7 models receive</w:t>
      </w:r>
      <w:r>
        <w:t xml:space="preserve"> </w:t>
      </w:r>
      <w:r>
        <w:rPr>
          <w:b/>
          <w:bCs/>
        </w:rPr>
        <w:t xml:space="preserve">identical partial class-balanced sample weighting</w:t>
      </w:r>
      <w:r>
        <w:t xml:space="preserve"> </w:t>
      </w:r>
      <w:r>
        <w:t xml:space="preserve">(power = 0.3, where 0 = no weighting and 1 = full inverse-frequency balance), applied via</w:t>
      </w:r>
      <w:r>
        <w:t xml:space="preserve"> </w:t>
      </w:r>
      <w:r>
        <w:rPr>
          <w:rStyle w:val="VerbatimChar"/>
        </w:rPr>
        <w:t xml:space="preserve">sklearn.utils.class_weight.compute_sample_weight</w:t>
      </w:r>
      <w:r>
        <w:t xml:space="preserve">.</w:t>
      </w:r>
    </w:p>
    <w:p>
      <w:pPr>
        <w:pStyle w:val="BodyText"/>
      </w:pPr>
      <w:r>
        <w:rPr>
          <w:b/>
          <w:bCs/>
        </w:rPr>
        <w:t xml:space="preserve">Disclosed exception:</w:t>
      </w:r>
      <w:r>
        <w:t xml:space="preserve"> </w:t>
      </w:r>
      <w:r>
        <w:t xml:space="preserve">KNN’s underlying estimator (</w:t>
      </w:r>
      <w:r>
        <w:rPr>
          <w:rStyle w:val="VerbatimChar"/>
        </w:rPr>
        <w:t xml:space="preserve">KNeighborsClassifier</w:t>
      </w:r>
      <w:r>
        <w:t xml:space="preserve">) has no</w:t>
      </w:r>
      <w:r>
        <w:t xml:space="preserve"> </w:t>
      </w:r>
      <w:r>
        <w:rPr>
          <w:rStyle w:val="VerbatimChar"/>
        </w:rPr>
        <w:t xml:space="preserve">sample_weight</w:t>
      </w:r>
      <w:r>
        <w:t xml:space="preserve"> </w:t>
      </w:r>
      <w:r>
        <w:t xml:space="preserve">parameter at all in scikit-learn — it is instance-based, with no weighted-training step to apply weights to. This is a library limitation, not a decision to exclude KNN from fair treatment.</w:t>
      </w:r>
    </w:p>
    <w:bookmarkEnd w:id="13"/>
    <w:bookmarkStart w:id="14" w:name="evaluation-procedure"/>
    <w:p>
      <w:pPr>
        <w:pStyle w:val="Heading3"/>
      </w:pPr>
      <w:r>
        <w:t xml:space="preserve">2.5 Evaluation procedure</w:t>
      </w:r>
    </w:p>
    <w:p>
      <w:pPr>
        <w:pStyle w:val="Compact"/>
        <w:numPr>
          <w:ilvl w:val="0"/>
          <w:numId w:val="1003"/>
        </w:numPr>
      </w:pPr>
      <w:r>
        <w:rPr>
          <w:b/>
          <w:bCs/>
        </w:rPr>
        <w:t xml:space="preserve">5-fold stratified cross-validation</w:t>
      </w:r>
      <w:r>
        <w:t xml:space="preserve">, same folds (seed=42) across all 7 models.</w:t>
      </w:r>
    </w:p>
    <w:p>
      <w:pPr>
        <w:pStyle w:val="Compact"/>
        <w:numPr>
          <w:ilvl w:val="0"/>
          <w:numId w:val="1003"/>
        </w:numPr>
      </w:pPr>
      <w:r>
        <w:t xml:space="preserve">Each fold: train on 80% (~3,200 tickets), predict on the held-out 20% (~800 tickets), rotating which fifth is held out.</w:t>
      </w:r>
    </w:p>
    <w:p>
      <w:pPr>
        <w:pStyle w:val="Compact"/>
        <w:numPr>
          <w:ilvl w:val="0"/>
          <w:numId w:val="1003"/>
        </w:numPr>
      </w:pPr>
      <w:r>
        <w:t xml:space="preserve">Metrics computed on pooled predictions across all 5 folds: accuracy, macro-averaged precision/recall/F1, per-class precision/recall/F1, confusion matrix.</w:t>
      </w:r>
    </w:p>
    <w:p>
      <w:pPr>
        <w:pStyle w:val="Compact"/>
        <w:numPr>
          <w:ilvl w:val="0"/>
          <w:numId w:val="1003"/>
        </w:numPr>
      </w:pPr>
      <w:r>
        <w:t xml:space="preserve">Separately measured: training time per fold, inference time per ticket, and serialized model size on disk (via</w:t>
      </w:r>
      <w:r>
        <w:t xml:space="preserve"> </w:t>
      </w:r>
      <w:r>
        <w:rPr>
          <w:rStyle w:val="VerbatimChar"/>
        </w:rPr>
        <w:t xml:space="preserve">joblib.dump</w:t>
      </w:r>
      <w:r>
        <w:t xml:space="preserve">).</w:t>
      </w:r>
    </w:p>
    <w:p>
      <w:pPr>
        <w:pStyle w:val="Compact"/>
        <w:numPr>
          <w:ilvl w:val="0"/>
          <w:numId w:val="1003"/>
        </w:numPr>
      </w:pPr>
      <w:r>
        <w:rPr>
          <w:b/>
          <w:bCs/>
        </w:rPr>
        <w:t xml:space="preserve">Held-out spot-check</w:t>
      </w:r>
      <w:r>
        <w:t xml:space="preserve"> </w:t>
      </w:r>
      <w:r>
        <w:t xml:space="preserve">(</w:t>
      </w:r>
      <w:r>
        <w:rPr>
          <w:rStyle w:val="VerbatimChar"/>
        </w:rPr>
        <w:t xml:space="preserve">model_comparison/spot_check.py</w:t>
      </w:r>
      <w:r>
        <w:t xml:space="preserve">): an additional, separate 400-ticket holdout (10% of the dataset, never used in the 5-fold CV above) used to sanity-check the aggregate metrics against individual ticket-level predictions.</w:t>
      </w:r>
    </w:p>
    <w:p>
      <w:r>
        <w:pict>
          <v:rect style="width:0;height:1.5pt" o:hralign="center" o:hrstd="t" o:hr="t"/>
        </w:pict>
      </w:r>
    </w:p>
    <w:bookmarkEnd w:id="14"/>
    <w:bookmarkEnd w:id="15"/>
    <w:bookmarkStart w:id="17" w:name="results-current-configuration"/>
    <w:p>
      <w:pPr>
        <w:pStyle w:val="Heading2"/>
      </w:pPr>
      <w:r>
        <w:t xml:space="preserve">3. Results — Current Configuration</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Model</w:t>
            </w:r>
          </w:p>
        </w:tc>
        <w:tc>
          <w:tcPr/>
          <w:p>
            <w:pPr>
              <w:pStyle w:val="Compact"/>
            </w:pPr>
            <w:r>
              <w:t xml:space="preserve">Accuracy</w:t>
            </w:r>
          </w:p>
        </w:tc>
        <w:tc>
          <w:tcPr/>
          <w:p>
            <w:pPr>
              <w:pStyle w:val="Compact"/>
            </w:pPr>
            <w:r>
              <w:t xml:space="preserve">F1 (macro)</w:t>
            </w:r>
          </w:p>
        </w:tc>
        <w:tc>
          <w:tcPr/>
          <w:p>
            <w:pPr>
              <w:pStyle w:val="Compact"/>
            </w:pPr>
            <w:r>
              <w:t xml:space="preserve">Train Time</w:t>
            </w:r>
          </w:p>
        </w:tc>
        <w:tc>
          <w:tcPr/>
          <w:p>
            <w:pPr>
              <w:pStyle w:val="Compact"/>
            </w:pPr>
            <w:r>
              <w:t xml:space="preserve">Infer / Ticket</w:t>
            </w:r>
          </w:p>
        </w:tc>
        <w:tc>
          <w:tcPr/>
          <w:p>
            <w:pPr>
              <w:pStyle w:val="Compact"/>
            </w:pPr>
            <w:r>
              <w:t xml:space="preserve">Size</w:t>
            </w:r>
          </w:p>
        </w:tc>
      </w:tr>
      <w:tr>
        <w:tc>
          <w:tcPr/>
          <w:p>
            <w:pPr>
              <w:pStyle w:val="Compact"/>
            </w:pPr>
            <w:r>
              <w:rPr>
                <w:b/>
                <w:bCs/>
              </w:rPr>
              <w:t xml:space="preserve">XGBoost</w:t>
            </w:r>
          </w:p>
        </w:tc>
        <w:tc>
          <w:tcPr/>
          <w:p>
            <w:pPr>
              <w:pStyle w:val="Compact"/>
            </w:pPr>
            <w:r>
              <w:rPr>
                <w:b/>
                <w:bCs/>
              </w:rPr>
              <w:t xml:space="preserve">70.6%</w:t>
            </w:r>
            <w:r>
              <w:t xml:space="preserve"> </w:t>
            </w:r>
            <w:r>
              <w:t xml:space="preserve">(±1.3%)</w:t>
            </w:r>
          </w:p>
        </w:tc>
        <w:tc>
          <w:tcPr/>
          <w:p>
            <w:pPr>
              <w:pStyle w:val="Compact"/>
            </w:pPr>
            <w:r>
              <w:t xml:space="preserve">0.623 (tied)</w:t>
            </w:r>
          </w:p>
        </w:tc>
        <w:tc>
          <w:tcPr/>
          <w:p>
            <w:pPr>
              <w:pStyle w:val="Compact"/>
            </w:pPr>
            <w:r>
              <w:t xml:space="preserve">95.1ms</w:t>
            </w:r>
          </w:p>
        </w:tc>
        <w:tc>
          <w:tcPr/>
          <w:p>
            <w:pPr>
              <w:pStyle w:val="Compact"/>
            </w:pPr>
            <w:r>
              <w:rPr>
                <w:b/>
                <w:bCs/>
              </w:rPr>
              <w:t xml:space="preserve">0.001ms</w:t>
            </w:r>
          </w:p>
        </w:tc>
        <w:tc>
          <w:tcPr/>
          <w:p>
            <w:pPr>
              <w:pStyle w:val="Compact"/>
            </w:pPr>
            <w:r>
              <w:t xml:space="preserve">472.7KB</w:t>
            </w:r>
          </w:p>
        </w:tc>
      </w:tr>
      <w:tr>
        <w:tc>
          <w:tcPr/>
          <w:p>
            <w:pPr>
              <w:pStyle w:val="Compact"/>
            </w:pPr>
            <w:r>
              <w:t xml:space="preserve">LightGBM</w:t>
            </w:r>
          </w:p>
        </w:tc>
        <w:tc>
          <w:tcPr/>
          <w:p>
            <w:pPr>
              <w:pStyle w:val="Compact"/>
            </w:pPr>
            <w:r>
              <w:t xml:space="preserve">70.3%</w:t>
            </w:r>
          </w:p>
        </w:tc>
        <w:tc>
          <w:tcPr/>
          <w:p>
            <w:pPr>
              <w:pStyle w:val="Compact"/>
            </w:pPr>
            <w:r>
              <w:t xml:space="preserve">0.623 (tied)</w:t>
            </w:r>
          </w:p>
        </w:tc>
        <w:tc>
          <w:tcPr/>
          <w:p>
            <w:pPr>
              <w:pStyle w:val="Compact"/>
            </w:pPr>
            <w:r>
              <w:t xml:space="preserve">370.4ms</w:t>
            </w:r>
          </w:p>
        </w:tc>
        <w:tc>
          <w:tcPr/>
          <w:p>
            <w:pPr>
              <w:pStyle w:val="Compact"/>
            </w:pPr>
            <w:r>
              <w:t xml:space="preserve">0.003ms</w:t>
            </w:r>
          </w:p>
        </w:tc>
        <w:tc>
          <w:tcPr/>
          <w:p>
            <w:pPr>
              <w:pStyle w:val="Compact"/>
            </w:pPr>
            <w:r>
              <w:t xml:space="preserve">469.9KB</w:t>
            </w:r>
          </w:p>
        </w:tc>
      </w:tr>
      <w:tr>
        <w:tc>
          <w:tcPr/>
          <w:p>
            <w:pPr>
              <w:pStyle w:val="Compact"/>
            </w:pPr>
            <w:r>
              <w:t xml:space="preserve">CatBoost</w:t>
            </w:r>
          </w:p>
        </w:tc>
        <w:tc>
          <w:tcPr/>
          <w:p>
            <w:pPr>
              <w:pStyle w:val="Compact"/>
            </w:pPr>
            <w:r>
              <w:t xml:space="preserve">70.5%</w:t>
            </w:r>
          </w:p>
        </w:tc>
        <w:tc>
          <w:tcPr/>
          <w:p>
            <w:pPr>
              <w:pStyle w:val="Compact"/>
            </w:pPr>
            <w:r>
              <w:t xml:space="preserve">0.605</w:t>
            </w:r>
          </w:p>
        </w:tc>
        <w:tc>
          <w:tcPr/>
          <w:p>
            <w:pPr>
              <w:pStyle w:val="Compact"/>
            </w:pPr>
            <w:r>
              <w:t xml:space="preserve">95.2ms</w:t>
            </w:r>
          </w:p>
        </w:tc>
        <w:tc>
          <w:tcPr/>
          <w:p>
            <w:pPr>
              <w:pStyle w:val="Compact"/>
            </w:pPr>
            <w:r>
              <w:t xml:space="preserve">0.003ms</w:t>
            </w:r>
          </w:p>
        </w:tc>
        <w:tc>
          <w:tcPr/>
          <w:p>
            <w:pPr>
              <w:pStyle w:val="Compact"/>
            </w:pPr>
            <w:r>
              <w:t xml:space="preserve">65.0KB</w:t>
            </w:r>
          </w:p>
        </w:tc>
      </w:tr>
      <w:tr>
        <w:tc>
          <w:tcPr/>
          <w:p>
            <w:pPr>
              <w:pStyle w:val="Compact"/>
            </w:pPr>
            <w:r>
              <w:t xml:space="preserve">Random Forest</w:t>
            </w:r>
          </w:p>
        </w:tc>
        <w:tc>
          <w:tcPr/>
          <w:p>
            <w:pPr>
              <w:pStyle w:val="Compact"/>
            </w:pPr>
            <w:r>
              <w:t xml:space="preserve">69.4%</w:t>
            </w:r>
          </w:p>
        </w:tc>
        <w:tc>
          <w:tcPr/>
          <w:p>
            <w:pPr>
              <w:pStyle w:val="Compact"/>
            </w:pPr>
            <w:r>
              <w:t xml:space="preserve">0.550</w:t>
            </w:r>
          </w:p>
        </w:tc>
        <w:tc>
          <w:tcPr/>
          <w:p>
            <w:pPr>
              <w:pStyle w:val="Compact"/>
            </w:pPr>
            <w:r>
              <w:t xml:space="preserve">62.2ms</w:t>
            </w:r>
          </w:p>
        </w:tc>
        <w:tc>
          <w:tcPr/>
          <w:p>
            <w:pPr>
              <w:pStyle w:val="Compact"/>
            </w:pPr>
            <w:r>
              <w:t xml:space="preserve">0.016ms</w:t>
            </w:r>
          </w:p>
        </w:tc>
        <w:tc>
          <w:tcPr/>
          <w:p>
            <w:pPr>
              <w:pStyle w:val="Compact"/>
            </w:pPr>
            <w:r>
              <w:t xml:space="preserve">976.4KB</w:t>
            </w:r>
          </w:p>
        </w:tc>
      </w:tr>
      <w:tr>
        <w:tc>
          <w:tcPr/>
          <w:p>
            <w:pPr>
              <w:pStyle w:val="Compact"/>
            </w:pPr>
            <w:r>
              <w:t xml:space="preserve">SVM (RBF)</w:t>
            </w:r>
          </w:p>
        </w:tc>
        <w:tc>
          <w:tcPr/>
          <w:p>
            <w:pPr>
              <w:pStyle w:val="Compact"/>
            </w:pPr>
            <w:r>
              <w:t xml:space="preserve">69.0%</w:t>
            </w:r>
          </w:p>
        </w:tc>
        <w:tc>
          <w:tcPr/>
          <w:p>
            <w:pPr>
              <w:pStyle w:val="Compact"/>
            </w:pPr>
            <w:r>
              <w:t xml:space="preserve">0.575</w:t>
            </w:r>
          </w:p>
        </w:tc>
        <w:tc>
          <w:tcPr/>
          <w:p>
            <w:pPr>
              <w:pStyle w:val="Compact"/>
            </w:pPr>
            <w:r>
              <w:t xml:space="preserve">712.1ms</w:t>
            </w:r>
          </w:p>
        </w:tc>
        <w:tc>
          <w:tcPr/>
          <w:p>
            <w:pPr>
              <w:pStyle w:val="Compact"/>
            </w:pPr>
            <w:r>
              <w:t xml:space="preserve">0.064ms</w:t>
            </w:r>
          </w:p>
        </w:tc>
        <w:tc>
          <w:tcPr/>
          <w:p>
            <w:pPr>
              <w:pStyle w:val="Compact"/>
            </w:pPr>
            <w:r>
              <w:t xml:space="preserve">414.7KB</w:t>
            </w:r>
          </w:p>
        </w:tc>
      </w:tr>
      <w:tr>
        <w:tc>
          <w:tcPr/>
          <w:p>
            <w:pPr>
              <w:pStyle w:val="Compact"/>
            </w:pPr>
            <w:r>
              <w:t xml:space="preserve">Logistic Regression</w:t>
            </w:r>
          </w:p>
        </w:tc>
        <w:tc>
          <w:tcPr/>
          <w:p>
            <w:pPr>
              <w:pStyle w:val="Compact"/>
            </w:pPr>
            <w:r>
              <w:t xml:space="preserve">68.6%</w:t>
            </w:r>
          </w:p>
        </w:tc>
        <w:tc>
          <w:tcPr/>
          <w:p>
            <w:pPr>
              <w:pStyle w:val="Compact"/>
            </w:pPr>
            <w:r>
              <w:t xml:space="preserve">0.560</w:t>
            </w:r>
          </w:p>
        </w:tc>
        <w:tc>
          <w:tcPr/>
          <w:p>
            <w:pPr>
              <w:pStyle w:val="Compact"/>
            </w:pPr>
            <w:r>
              <w:t xml:space="preserve">8.0ms</w:t>
            </w:r>
          </w:p>
        </w:tc>
        <w:tc>
          <w:tcPr/>
          <w:p>
            <w:pPr>
              <w:pStyle w:val="Compact"/>
            </w:pPr>
            <w:r>
              <w:t xml:space="preserve">0.000ms</w:t>
            </w:r>
          </w:p>
        </w:tc>
        <w:tc>
          <w:tcPr/>
          <w:p>
            <w:pPr>
              <w:pStyle w:val="Compact"/>
            </w:pPr>
            <w:r>
              <w:t xml:space="preserve">2.1KB</w:t>
            </w:r>
          </w:p>
        </w:tc>
      </w:tr>
      <w:tr>
        <w:tc>
          <w:tcPr/>
          <w:p>
            <w:pPr>
              <w:pStyle w:val="Compact"/>
            </w:pPr>
            <w:r>
              <w:t xml:space="preserve">KNN</w:t>
            </w:r>
          </w:p>
        </w:tc>
        <w:tc>
          <w:tcPr/>
          <w:p>
            <w:pPr>
              <w:pStyle w:val="Compact"/>
            </w:pPr>
            <w:r>
              <w:t xml:space="preserve">66.7%</w:t>
            </w:r>
          </w:p>
        </w:tc>
        <w:tc>
          <w:tcPr/>
          <w:p>
            <w:pPr>
              <w:pStyle w:val="Compact"/>
            </w:pPr>
            <w:r>
              <w:t xml:space="preserve">0.532</w:t>
            </w:r>
          </w:p>
        </w:tc>
        <w:tc>
          <w:tcPr/>
          <w:p>
            <w:pPr>
              <w:pStyle w:val="Compact"/>
            </w:pPr>
            <w:r>
              <w:t xml:space="preserve">3.5ms</w:t>
            </w:r>
          </w:p>
        </w:tc>
        <w:tc>
          <w:tcPr/>
          <w:p>
            <w:pPr>
              <w:pStyle w:val="Compact"/>
            </w:pPr>
            <w:r>
              <w:t xml:space="preserve">0.041ms</w:t>
            </w:r>
          </w:p>
        </w:tc>
        <w:tc>
          <w:tcPr/>
          <w:p>
            <w:pPr>
              <w:pStyle w:val="Compact"/>
            </w:pPr>
            <w:r>
              <w:t xml:space="preserve">564.1KB</w:t>
            </w:r>
          </w:p>
        </w:tc>
      </w:tr>
    </w:tbl>
    <w:bookmarkStart w:id="16" w:name="per-class-f1-the-more-diagnostic-view"/>
    <w:p>
      <w:pPr>
        <w:pStyle w:val="Heading3"/>
      </w:pPr>
      <w:r>
        <w:t xml:space="preserve">3.1 Per-class F1 (the more diagnostic view)</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Model</w:t>
            </w:r>
          </w:p>
        </w:tc>
        <w:tc>
          <w:tcPr/>
          <w:p>
            <w:pPr>
              <w:pStyle w:val="Compact"/>
            </w:pPr>
            <w:r>
              <w:t xml:space="preserve">FALSE_POSITIVE F1</w:t>
            </w:r>
          </w:p>
        </w:tc>
        <w:tc>
          <w:tcPr/>
          <w:p>
            <w:pPr>
              <w:pStyle w:val="Compact"/>
            </w:pPr>
            <w:r>
              <w:t xml:space="preserve">NEEDS_REVIEW F1</w:t>
            </w:r>
          </w:p>
        </w:tc>
        <w:tc>
          <w:tcPr/>
          <w:p>
            <w:pPr>
              <w:pStyle w:val="Compact"/>
            </w:pPr>
            <w:r>
              <w:t xml:space="preserve">TRUE_POSITIVE F1</w:t>
            </w:r>
          </w:p>
        </w:tc>
      </w:tr>
      <w:tr>
        <w:tc>
          <w:tcPr/>
          <w:p>
            <w:pPr>
              <w:pStyle w:val="Compact"/>
            </w:pPr>
            <w:r>
              <w:t xml:space="preserve">CatBoost</w:t>
            </w:r>
          </w:p>
        </w:tc>
        <w:tc>
          <w:tcPr/>
          <w:p>
            <w:pPr>
              <w:pStyle w:val="Compact"/>
            </w:pPr>
            <w:r>
              <w:t xml:space="preserve">0.822 (1st)</w:t>
            </w:r>
          </w:p>
        </w:tc>
        <w:tc>
          <w:tcPr/>
          <w:p>
            <w:pPr>
              <w:pStyle w:val="Compact"/>
            </w:pPr>
            <w:r>
              <w:t xml:space="preserve">0.325</w:t>
            </w:r>
          </w:p>
        </w:tc>
        <w:tc>
          <w:tcPr/>
          <w:p>
            <w:pPr>
              <w:pStyle w:val="Compact"/>
            </w:pPr>
            <w:r>
              <w:t xml:space="preserve">0.668 (1st, tied)</w:t>
            </w:r>
          </w:p>
        </w:tc>
      </w:tr>
      <w:tr>
        <w:tc>
          <w:tcPr/>
          <w:p>
            <w:pPr>
              <w:pStyle w:val="Compact"/>
            </w:pPr>
            <w:r>
              <w:rPr>
                <w:b/>
                <w:bCs/>
              </w:rPr>
              <w:t xml:space="preserve">XGBoost</w:t>
            </w:r>
          </w:p>
        </w:tc>
        <w:tc>
          <w:tcPr/>
          <w:p>
            <w:pPr>
              <w:pStyle w:val="Compact"/>
            </w:pPr>
            <w:r>
              <w:t xml:space="preserve">0.821 (2nd)</w:t>
            </w:r>
          </w:p>
        </w:tc>
        <w:tc>
          <w:tcPr/>
          <w:p>
            <w:pPr>
              <w:pStyle w:val="Compact"/>
            </w:pPr>
            <w:r>
              <w:rPr>
                <w:b/>
                <w:bCs/>
              </w:rPr>
              <w:t xml:space="preserve">0.382 (2nd)</w:t>
            </w:r>
          </w:p>
        </w:tc>
        <w:tc>
          <w:tcPr/>
          <w:p>
            <w:pPr>
              <w:pStyle w:val="Compact"/>
            </w:pPr>
            <w:r>
              <w:t xml:space="preserve">0.667 (2nd, tied)</w:t>
            </w:r>
          </w:p>
        </w:tc>
      </w:tr>
      <w:tr>
        <w:tc>
          <w:tcPr/>
          <w:p>
            <w:pPr>
              <w:pStyle w:val="Compact"/>
            </w:pPr>
            <w:r>
              <w:t xml:space="preserve">LightGBM</w:t>
            </w:r>
          </w:p>
        </w:tc>
        <w:tc>
          <w:tcPr/>
          <w:p>
            <w:pPr>
              <w:pStyle w:val="Compact"/>
            </w:pPr>
            <w:r>
              <w:t xml:space="preserve">0.818</w:t>
            </w:r>
          </w:p>
        </w:tc>
        <w:tc>
          <w:tcPr/>
          <w:p>
            <w:pPr>
              <w:pStyle w:val="Compact"/>
            </w:pPr>
            <w:r>
              <w:rPr>
                <w:b/>
                <w:bCs/>
              </w:rPr>
              <w:t xml:space="preserve">0.384 (1st)</w:t>
            </w:r>
          </w:p>
        </w:tc>
        <w:tc>
          <w:tcPr/>
          <w:p>
            <w:pPr>
              <w:pStyle w:val="Compact"/>
            </w:pPr>
            <w:r>
              <w:t xml:space="preserve">0.667 (tied)</w:t>
            </w:r>
          </w:p>
        </w:tc>
      </w:tr>
      <w:tr>
        <w:tc>
          <w:tcPr/>
          <w:p>
            <w:pPr>
              <w:pStyle w:val="Compact"/>
            </w:pPr>
            <w:r>
              <w:t xml:space="preserve">SVM (RBF)</w:t>
            </w:r>
          </w:p>
        </w:tc>
        <w:tc>
          <w:tcPr/>
          <w:p>
            <w:pPr>
              <w:pStyle w:val="Compact"/>
            </w:pPr>
            <w:r>
              <w:t xml:space="preserve">0.817</w:t>
            </w:r>
          </w:p>
        </w:tc>
        <w:tc>
          <w:tcPr/>
          <w:p>
            <w:pPr>
              <w:pStyle w:val="Compact"/>
            </w:pPr>
            <w:r>
              <w:t xml:space="preserve">0.253</w:t>
            </w:r>
          </w:p>
        </w:tc>
        <w:tc>
          <w:tcPr/>
          <w:p>
            <w:pPr>
              <w:pStyle w:val="Compact"/>
            </w:pPr>
            <w:r>
              <w:t xml:space="preserve">0.655</w:t>
            </w:r>
          </w:p>
        </w:tc>
      </w:tr>
      <w:tr>
        <w:tc>
          <w:tcPr/>
          <w:p>
            <w:pPr>
              <w:pStyle w:val="Compact"/>
            </w:pPr>
            <w:r>
              <w:t xml:space="preserve">Random Forest</w:t>
            </w:r>
          </w:p>
        </w:tc>
        <w:tc>
          <w:tcPr/>
          <w:p>
            <w:pPr>
              <w:pStyle w:val="Compact"/>
            </w:pPr>
            <w:r>
              <w:t xml:space="preserve">0.816</w:t>
            </w:r>
          </w:p>
        </w:tc>
        <w:tc>
          <w:tcPr/>
          <w:p>
            <w:pPr>
              <w:pStyle w:val="Compact"/>
            </w:pPr>
            <w:r>
              <w:t xml:space="preserve">0.174</w:t>
            </w:r>
          </w:p>
        </w:tc>
        <w:tc>
          <w:tcPr/>
          <w:p>
            <w:pPr>
              <w:pStyle w:val="Compact"/>
            </w:pPr>
            <w:r>
              <w:t xml:space="preserve">0.659</w:t>
            </w:r>
          </w:p>
        </w:tc>
      </w:tr>
      <w:tr>
        <w:tc>
          <w:tcPr/>
          <w:p>
            <w:pPr>
              <w:pStyle w:val="Compact"/>
            </w:pPr>
            <w:r>
              <w:t xml:space="preserve">Logistic Regression</w:t>
            </w:r>
          </w:p>
        </w:tc>
        <w:tc>
          <w:tcPr/>
          <w:p>
            <w:pPr>
              <w:pStyle w:val="Compact"/>
            </w:pPr>
            <w:r>
              <w:t xml:space="preserve">0.812</w:t>
            </w:r>
          </w:p>
        </w:tc>
        <w:tc>
          <w:tcPr/>
          <w:p>
            <w:pPr>
              <w:pStyle w:val="Compact"/>
            </w:pPr>
            <w:r>
              <w:t xml:space="preserve">0.208</w:t>
            </w:r>
          </w:p>
        </w:tc>
        <w:tc>
          <w:tcPr/>
          <w:p>
            <w:pPr>
              <w:pStyle w:val="Compact"/>
            </w:pPr>
            <w:r>
              <w:t xml:space="preserve">0.660</w:t>
            </w:r>
          </w:p>
        </w:tc>
      </w:tr>
      <w:tr>
        <w:tc>
          <w:tcPr/>
          <w:p>
            <w:pPr>
              <w:pStyle w:val="Compact"/>
            </w:pPr>
            <w:r>
              <w:t xml:space="preserve">KNN</w:t>
            </w:r>
          </w:p>
        </w:tc>
        <w:tc>
          <w:tcPr/>
          <w:p>
            <w:pPr>
              <w:pStyle w:val="Compact"/>
            </w:pPr>
            <w:r>
              <w:t xml:space="preserve">0.797</w:t>
            </w:r>
          </w:p>
        </w:tc>
        <w:tc>
          <w:tcPr/>
          <w:p>
            <w:pPr>
              <w:pStyle w:val="Compact"/>
            </w:pPr>
            <w:r>
              <w:t xml:space="preserve">0.186</w:t>
            </w:r>
          </w:p>
        </w:tc>
        <w:tc>
          <w:tcPr/>
          <w:p>
            <w:pPr>
              <w:pStyle w:val="Compact"/>
            </w:pPr>
            <w:r>
              <w:t xml:space="preserve">0.612</w:t>
            </w:r>
          </w:p>
        </w:tc>
      </w:tr>
    </w:tbl>
    <w:p>
      <w:pPr>
        <w:pStyle w:val="BodyText"/>
      </w:pPr>
      <w:r>
        <w:rPr>
          <w:b/>
          <w:bCs/>
        </w:rPr>
        <w:t xml:space="preserve">Key finding:</w:t>
      </w:r>
      <w:r>
        <w:t xml:space="preserve"> </w:t>
      </w:r>
      <w:r>
        <w:t xml:space="preserve">XGBoost is never worse than 2nd place on any of the three per-class F1 scores. No other model achieves this — CatBoost leads FALSE_POSITIVE and TRUE_POSITIVE but falls to 3rd on NEEDS_REVIEW; LightGBM leads NEEDS_REVIEW but is marginally behind on the other two.</w:t>
      </w:r>
      <w:r>
        <w:t xml:space="preserve"> </w:t>
      </w:r>
      <w:r>
        <w:rPr>
          <w:b/>
          <w:bCs/>
        </w:rPr>
        <w:t xml:space="preserve">XGBoost’s defensible strength is consistency across all three verdict classes, not being the single best on any one metric.</w:t>
      </w:r>
    </w:p>
    <w:p>
      <w:r>
        <w:pict>
          <v:rect style="width:0;height:1.5pt" o:hralign="center" o:hrstd="t" o:hr="t"/>
        </w:pict>
      </w:r>
    </w:p>
    <w:bookmarkEnd w:id="16"/>
    <w:bookmarkEnd w:id="17"/>
    <w:bookmarkStart w:id="18" w:name="current-leading-model"/>
    <w:p>
      <w:pPr>
        <w:pStyle w:val="Heading2"/>
      </w:pPr>
      <w:r>
        <w:t xml:space="preserve">4. Current Leading Model</w:t>
      </w:r>
    </w:p>
    <w:p>
      <w:pPr>
        <w:pStyle w:val="FirstParagraph"/>
      </w:pPr>
      <w:r>
        <w:t xml:space="preserve">Under the configuration described in Section 2, the top-ranked model is</w:t>
      </w:r>
      <w:r>
        <w:t xml:space="preserve"> </w:t>
      </w:r>
      <w:r>
        <w:rPr>
          <w:b/>
          <w:bCs/>
        </w:rPr>
        <w:t xml:space="preserve">XGBoost</w:t>
      </w:r>
      <w:r>
        <w:t xml:space="preserve">:</w:t>
      </w:r>
    </w:p>
    <w:p>
      <w:pPr>
        <w:pStyle w:val="Compact"/>
        <w:numPr>
          <w:ilvl w:val="0"/>
          <w:numId w:val="1004"/>
        </w:numPr>
      </w:pPr>
      <w:r>
        <w:rPr>
          <w:b/>
          <w:bCs/>
        </w:rPr>
        <w:t xml:space="preserve">Best accuracy</w:t>
      </w:r>
      <w:r>
        <w:t xml:space="preserve"> </w:t>
      </w:r>
      <w:r>
        <w:t xml:space="preserve">of all 7 models tested (70.6%).</w:t>
      </w:r>
    </w:p>
    <w:p>
      <w:pPr>
        <w:pStyle w:val="Compact"/>
        <w:numPr>
          <w:ilvl w:val="0"/>
          <w:numId w:val="1004"/>
        </w:numPr>
      </w:pPr>
      <w:r>
        <w:rPr>
          <w:b/>
          <w:bCs/>
        </w:rPr>
        <w:t xml:space="preserve">Tied for best F1 (macro)</w:t>
      </w:r>
      <w:r>
        <w:t xml:space="preserve"> </w:t>
      </w:r>
      <w:r>
        <w:t xml:space="preserve">with LightGBM (0.623).</w:t>
      </w:r>
    </w:p>
    <w:p>
      <w:pPr>
        <w:pStyle w:val="Compact"/>
        <w:numPr>
          <w:ilvl w:val="0"/>
          <w:numId w:val="1004"/>
        </w:numPr>
      </w:pPr>
      <w:r>
        <w:rPr>
          <w:b/>
          <w:bCs/>
        </w:rPr>
        <w:t xml:space="preserve">Most consistent per-class performance</w:t>
      </w:r>
      <w:r>
        <w:t xml:space="preserve"> </w:t>
      </w:r>
      <w:r>
        <w:t xml:space="preserve">— never drops below 2nd place on any individual verdict class (FALSE_POSITIVE, NEEDS_REVIEW, TRUE_POSITIVE), which no other model in the comparison achieves.</w:t>
      </w:r>
    </w:p>
    <w:p>
      <w:pPr>
        <w:pStyle w:val="Compact"/>
        <w:numPr>
          <w:ilvl w:val="0"/>
          <w:numId w:val="1004"/>
        </w:numPr>
      </w:pPr>
      <w:r>
        <w:rPr>
          <w:b/>
          <w:bCs/>
        </w:rPr>
        <w:t xml:space="preserve">Fastest inference</w:t>
      </w:r>
      <w:r>
        <w:t xml:space="preserve"> </w:t>
      </w:r>
      <w:r>
        <w:t xml:space="preserve">(0.001ms/ticket) — satisfies the system’s stated non-functional requirement for a millisecond-latency, offline-capable classifier fallback.</w:t>
      </w:r>
    </w:p>
    <w:p>
      <w:pPr>
        <w:pStyle w:val="Compact"/>
        <w:numPr>
          <w:ilvl w:val="0"/>
          <w:numId w:val="1004"/>
        </w:numPr>
      </w:pPr>
      <w:r>
        <w:rPr>
          <w:b/>
          <w:bCs/>
        </w:rPr>
        <w:t xml:space="preserve">Already integrated</w:t>
      </w:r>
      <w:r>
        <w:t xml:space="preserve"> </w:t>
      </w:r>
      <w:r>
        <w:t xml:space="preserve">into the production pipeline (</w:t>
      </w:r>
      <w:r>
        <w:rPr>
          <w:rStyle w:val="VerbatimChar"/>
        </w:rPr>
        <w:t xml:space="preserve">backend/pipeline/classifier.py</w:t>
      </w:r>
      <w:r>
        <w:t xml:space="preserve">), which is a relevant practical factor alongside the metrics above.</w:t>
      </w:r>
    </w:p>
    <w:p>
      <w:r>
        <w:pict>
          <v:rect style="width:0;height:1.5pt" o:hralign="center" o:hrstd="t" o:hr="t"/>
        </w:pict>
      </w:r>
    </w:p>
    <w:bookmarkEnd w:id="18"/>
    <w:bookmarkStart w:id="25" w:name="sensitivity-analysis-and-limitations"/>
    <w:p>
      <w:pPr>
        <w:pStyle w:val="Heading2"/>
      </w:pPr>
      <w:r>
        <w:t xml:space="preserve">5. Sensitivity Analysis and Limitations</w:t>
      </w:r>
    </w:p>
    <w:p>
      <w:pPr>
        <w:pStyle w:val="FirstParagraph"/>
      </w:pPr>
      <w:r>
        <w:t xml:space="preserve">Model rankings from a single configuration can be sensitive to how the underlying data and evaluation parameters are set up. The following variations were evaluated to characterize how stable the Section 4 ranking is, and what other limitations apply to this comparison as a whole.</w:t>
      </w:r>
    </w:p>
    <w:bookmarkStart w:id="19" w:name="sensitivity-to-class-imbalance-handling"/>
    <w:p>
      <w:pPr>
        <w:pStyle w:val="Heading3"/>
      </w:pPr>
      <w:r>
        <w:t xml:space="preserve">5.1 Sensitivity to class-imbalance handling</w:t>
      </w:r>
    </w:p>
    <w:p>
      <w:pPr>
        <w:pStyle w:val="FirstParagraph"/>
      </w:pPr>
      <w:r>
        <w:t xml:space="preserve">Several variations were evaluated to understand how the ranking responds to different approaches to the NEEDS_REVIEW class (which is both the smallest class and the hardest to classify across all 7 models):</w:t>
      </w:r>
    </w:p>
    <w:p>
      <w:pPr>
        <w:pStyle w:val="Compact"/>
        <w:numPr>
          <w:ilvl w:val="0"/>
          <w:numId w:val="1005"/>
        </w:numPr>
      </w:pPr>
      <w:r>
        <w:t xml:space="preserve">Additional NEEDS_REVIEW-related label conditions in the dataset generator (novel-entity, conflicting-signal, and borderline-timing patterns)</w:t>
      </w:r>
    </w:p>
    <w:p>
      <w:pPr>
        <w:pStyle w:val="Compact"/>
        <w:numPr>
          <w:ilvl w:val="0"/>
          <w:numId w:val="1005"/>
        </w:numPr>
      </w:pPr>
      <w:r>
        <w:t xml:space="preserve">Different class-balance weighting levels (power 0.3 through 1.0)</w:t>
      </w:r>
    </w:p>
    <w:p>
      <w:pPr>
        <w:pStyle w:val="Compact"/>
        <w:numPr>
          <w:ilvl w:val="0"/>
          <w:numId w:val="1005"/>
        </w:numPr>
      </w:pPr>
      <w:r>
        <w:t xml:space="preserve">Exposing the above conditions as explicit model features</w:t>
      </w:r>
    </w:p>
    <w:p>
      <w:pPr>
        <w:pStyle w:val="Compact"/>
        <w:numPr>
          <w:ilvl w:val="0"/>
          <w:numId w:val="1005"/>
        </w:numPr>
      </w:pPr>
      <w:r>
        <w:t xml:space="preserve">Different NEEDS_REVIEW class proportions in the dataset (20% through 35%)</w:t>
      </w:r>
    </w:p>
    <w:p>
      <w:pPr>
        <w:pStyle w:val="FirstParagraph"/>
      </w:pPr>
      <w:r>
        <w:t xml:space="preserve">Across these variations,</w:t>
      </w:r>
      <w:r>
        <w:t xml:space="preserve"> </w:t>
      </w:r>
      <w:r>
        <w:rPr>
          <w:b/>
          <w:bCs/>
        </w:rPr>
        <w:t xml:space="preserve">CatBoost’s F1 (macro) was consistently the highest</w:t>
      </w:r>
      <w:r>
        <w:t xml:space="preserve">, typically by a narrow margin over XGBoost and LightGBM. This indicates the Section 4 ranking is specific to the current, disclosed configuration (weighting power 0.3, single label condition, 20% NEEDS_REVIEW share) rather than a fixed property that holds under every reasonable configuration. Under configurations that weight NEEDS_REVIEW performance more heavily, CatBoost is the stronger-performing model of the three gradient-boosting candidates.</w:t>
      </w:r>
    </w:p>
    <w:bookmarkEnd w:id="19"/>
    <w:bookmarkStart w:id="20" w:name="needs_review-recall-in-absolute-terms"/>
    <w:p>
      <w:pPr>
        <w:pStyle w:val="Heading3"/>
      </w:pPr>
      <w:r>
        <w:t xml:space="preserve">5.2 NEEDS_REVIEW recall in absolute terms</w:t>
      </w:r>
    </w:p>
    <w:p>
      <w:pPr>
        <w:pStyle w:val="FirstParagraph"/>
      </w:pPr>
      <w:r>
        <w:t xml:space="preserve">In the current configuration, the best-performing model on this metric (LightGBM, closely followed by XGBoost) correctly identifies approximately one third of genuinely ambiguous NEEDS_REVIEW tickets. A held-out spot-check of 80 true NEEDS_REVIEW tickets (a 400-ticket holdout never used during cross-validation) found that 49 of them were not correctly identified by any of the 7 models. This indicates that a meaningful share of the ambiguity encoded in this class is not currently well-captured by the feature set and models evaluated, independent of which model is selected.</w:t>
      </w:r>
    </w:p>
    <w:bookmarkEnd w:id="20"/>
    <w:bookmarkStart w:id="21" w:name="synthetic-data"/>
    <w:p>
      <w:pPr>
        <w:pStyle w:val="Heading3"/>
      </w:pPr>
      <w:r>
        <w:t xml:space="preserve">5.3 Synthetic data</w:t>
      </w:r>
    </w:p>
    <w:p>
      <w:pPr>
        <w:pStyle w:val="FirstParagraph"/>
      </w:pPr>
      <w:r>
        <w:t xml:space="preserve">All tickets in this comparison are synthetically generated, not drawn from a real SIEM or real analyst dispositions. The class distribution, feature relationships, and degree of label ambiguity are design choices intended to be plausible, not measured facts. Per the governing Technical Solution Document, meaningful evaluation is contingent on Option A shadow-mode data — a live SIEM feed with analyst-confirmed dispositions on at least 70% of alerts. Figures in this document should be treated as illustrative of methodology, and superseded by measured results once real disposition data is available; the model ranking may differ once evaluated against real data.</w:t>
      </w:r>
    </w:p>
    <w:bookmarkEnd w:id="21"/>
    <w:bookmarkStart w:id="22" w:name="statistical-ties"/>
    <w:p>
      <w:pPr>
        <w:pStyle w:val="Heading3"/>
      </w:pPr>
      <w:r>
        <w:t xml:space="preserve">5.4 Statistical ties</w:t>
      </w:r>
    </w:p>
    <w:p>
      <w:pPr>
        <w:pStyle w:val="FirstParagraph"/>
      </w:pPr>
      <w:r>
        <w:t xml:space="preserve">XGBoost and LightGBM are tied on F1 (macro) to three decimal places (0.623). Any display ordering that lists one above the other (e.g., a table sorted by this metric) reflects incidental tie-breaking (such as list order in code) rather than a measured performance difference, and should not be described as one model outperforming the other.</w:t>
      </w:r>
    </w:p>
    <w:bookmarkEnd w:id="22"/>
    <w:bookmarkStart w:id="23" w:name="knn-class-weighting-exception"/>
    <w:p>
      <w:pPr>
        <w:pStyle w:val="Heading3"/>
      </w:pPr>
      <w:r>
        <w:t xml:space="preserve">5.5 KNN class-weighting exception</w:t>
      </w:r>
    </w:p>
    <w:p>
      <w:pPr>
        <w:pStyle w:val="FirstParagraph"/>
      </w:pPr>
      <w:r>
        <w:t xml:space="preserve">KNN’s underlying scikit-learn estimator does not support</w:t>
      </w:r>
      <w:r>
        <w:t xml:space="preserve"> </w:t>
      </w:r>
      <w:r>
        <w:rPr>
          <w:rStyle w:val="VerbatimChar"/>
        </w:rPr>
        <w:t xml:space="preserve">sample_weight</w:t>
      </w:r>
      <w:r>
        <w:t xml:space="preserve">, unlike the other 6 models, which all receive identical class-balanced weighting. This is a library constraint rather than a methodological choice, and is disclosed in the tool’s output (UI, CLI, and JSON) each time results are generated.</w:t>
      </w:r>
    </w:p>
    <w:bookmarkEnd w:id="23"/>
    <w:bookmarkStart w:id="24" w:name="cross-validation-noise"/>
    <w:p>
      <w:pPr>
        <w:pStyle w:val="Heading3"/>
      </w:pPr>
      <w:r>
        <w:t xml:space="preserve">5.6 Cross-validation noise</w:t>
      </w:r>
    </w:p>
    <w:p>
      <w:pPr>
        <w:pStyle w:val="FirstParagraph"/>
      </w:pPr>
      <w:r>
        <w:t xml:space="preserve">Fold-to-fold standard deviations range from ±0.47% to ±1.72% across the 7 models. Several of the reported differences among the top 4-5 models fall within this range and would benefit from a formal significance test (e.g., McNemar’s test) before being treated as confirmed differences rather than sampling variation.</w:t>
      </w:r>
    </w:p>
    <w:p>
      <w:r>
        <w:pict>
          <v:rect style="width:0;height:1.5pt" o:hralign="center" o:hrstd="t" o:hr="t"/>
        </w:pict>
      </w:r>
    </w:p>
    <w:bookmarkEnd w:id="24"/>
    <w:bookmarkEnd w:id="25"/>
    <w:bookmarkStart w:id="26" w:name="recommendation"/>
    <w:p>
      <w:pPr>
        <w:pStyle w:val="Heading2"/>
      </w:pPr>
      <w:r>
        <w:t xml:space="preserve">6. Recommendation</w:t>
      </w:r>
    </w:p>
    <w:p>
      <w:pPr>
        <w:pStyle w:val="FirstParagraph"/>
      </w:pPr>
      <w:r>
        <w:t xml:space="preserve">Under the configuration described in Section 2, XGBoost is a reasonable choice: best accuracy, tied-best F1, the most consistent per-class performance among the 7 models tested, fastest inference, and already integrated into production. Section 5 should be considered alongside this recommendation, since the ranking is sensitive to how heavily NEEDS_REVIEW performance is weighted in the evaluation, and CatBoost performs comparably or better under configurations that prioritize that class more heavily.</w:t>
      </w:r>
    </w:p>
    <w:p>
      <w:pPr>
        <w:pStyle w:val="BodyText"/>
      </w:pPr>
      <w:r>
        <w:rPr>
          <w:b/>
          <w:bCs/>
        </w:rPr>
        <w:t xml:space="preserve">Suggested next steps before a final production decision:</w:t>
      </w:r>
    </w:p>
    <w:p>
      <w:pPr>
        <w:pStyle w:val="Compact"/>
        <w:numPr>
          <w:ilvl w:val="0"/>
          <w:numId w:val="1006"/>
        </w:numPr>
      </w:pPr>
      <w:r>
        <w:t xml:space="preserve">Determine, as a product decision, the acceptable trade-off between overall accuracy and NEEDS_REVIEW recall — this materially affects which model is preferable, per Section 5.1.</w:t>
      </w:r>
    </w:p>
    <w:p>
      <w:pPr>
        <w:pStyle w:val="Compact"/>
        <w:numPr>
          <w:ilvl w:val="0"/>
          <w:numId w:val="1006"/>
        </w:numPr>
      </w:pPr>
      <w:r>
        <w:t xml:space="preserve">Obtain real analyst-confirmed historical dispositions (per TSD Option A) and re-evaluate this comparison against real data before treating current figures as final.</w:t>
      </w:r>
    </w:p>
    <w:p>
      <w:pPr>
        <w:pStyle w:val="Compact"/>
        <w:numPr>
          <w:ilvl w:val="0"/>
          <w:numId w:val="1006"/>
        </w:numPr>
      </w:pPr>
      <w:r>
        <w:t xml:space="preserve">If NEEDS_REVIEW recall is prioritized further, expect the model ranking to shift accordingly — this should be planned as part of the same decision, not addressed separately after a model has already been selected.</w:t>
      </w:r>
    </w:p>
    <w:p>
      <w:r>
        <w:pict>
          <v:rect style="width:0;height:1.5pt" o:hralign="center" o:hrstd="t" o:hr="t"/>
        </w:pict>
      </w:r>
    </w:p>
    <w:bookmarkEnd w:id="26"/>
    <w:bookmarkStart w:id="30" w:name="applicability-to-real-production-data"/>
    <w:p>
      <w:pPr>
        <w:pStyle w:val="Heading2"/>
      </w:pPr>
      <w:r>
        <w:t xml:space="preserve">7. Applicability to Real Production Data</w:t>
      </w:r>
    </w:p>
    <w:p>
      <w:pPr>
        <w:pStyle w:val="FirstParagraph"/>
      </w:pPr>
      <w:r>
        <w:t xml:space="preserve">The comparison in Sections 3-6 was conducted entirely on synthetic data (Section 5.3). This section addresses which parts of that result can reasonably be expected to hold once real data is available, and which cannot be assumed without re-testing.</w:t>
      </w:r>
    </w:p>
    <w:bookmarkStart w:id="27" w:name="what-is-likely-to-generalize"/>
    <w:p>
      <w:pPr>
        <w:pStyle w:val="Heading3"/>
      </w:pPr>
      <w:r>
        <w:t xml:space="preserve">7.1 What is likely to generalize</w:t>
      </w:r>
    </w:p>
    <w:p>
      <w:pPr>
        <w:pStyle w:val="Compact"/>
        <w:numPr>
          <w:ilvl w:val="0"/>
          <w:numId w:val="1007"/>
        </w:numPr>
      </w:pPr>
      <w:r>
        <w:rPr>
          <w:b/>
          <w:bCs/>
        </w:rPr>
        <w:t xml:space="preserve">Relative algorithmic characteristics.</w:t>
      </w:r>
      <w:r>
        <w:t xml:space="preserve"> </w:t>
      </w:r>
      <w:r>
        <w:t xml:space="preserve">Inference latency, model size on disk, and training time are properties of the library/algorithm itself (e.g., XGBoost’s tree traversal is inherently fast at inference regardless of what data trained it). These are expected to hold in roughly the same relative order on real data.</w:t>
      </w:r>
    </w:p>
    <w:p>
      <w:pPr>
        <w:pStyle w:val="Compact"/>
        <w:numPr>
          <w:ilvl w:val="0"/>
          <w:numId w:val="1007"/>
        </w:numPr>
      </w:pPr>
      <w:r>
        <w:rPr>
          <w:b/>
          <w:bCs/>
        </w:rPr>
        <w:t xml:space="preserve">Model family performance patterns.</w:t>
      </w:r>
      <w:r>
        <w:t xml:space="preserve"> </w:t>
      </w:r>
      <w:r>
        <w:t xml:space="preserve">Gradient-boosted tree methods (XGBoost, CatBoost, LightGBM) outperforming linear (Logistic Regression), kernel-based (SVM), and instance-based (KNN) approaches on structured, tabular, multi-class classification problems is a well-established general pattern in applied machine learning, not specific to this synthetic dataset. It is reasonable to expect the three boosted-tree models will remain the leading candidates on real data, even if which of the three specifically leads changes.</w:t>
      </w:r>
    </w:p>
    <w:p>
      <w:pPr>
        <w:pStyle w:val="Compact"/>
        <w:numPr>
          <w:ilvl w:val="0"/>
          <w:numId w:val="1007"/>
        </w:numPr>
      </w:pPr>
      <w:r>
        <w:rPr>
          <w:b/>
          <w:bCs/>
        </w:rPr>
        <w:t xml:space="preserve">Architectural substitutability.</w:t>
      </w:r>
      <w:r>
        <w:t xml:space="preserve"> </w:t>
      </w:r>
      <w:r>
        <w:t xml:space="preserve">The governing Technical Solution Document already specifies that the classification stage is framework-agnostic and independently substitutable without re-architecting the pipeline. This comparison’s model registry (</w:t>
      </w:r>
      <w:r>
        <w:rPr>
          <w:rStyle w:val="VerbatimChar"/>
        </w:rPr>
        <w:t xml:space="preserve">model_comparison/models.py</w:t>
      </w:r>
      <w:r>
        <w:t xml:space="preserve">) is similarly designed so that swapping the production classifier, if warranted, is a configuration change rather than a pipeline redesign.</w:t>
      </w:r>
    </w:p>
    <w:bookmarkEnd w:id="27"/>
    <w:bookmarkStart w:id="28" w:name="Xb9676b3f64c19e43908f298d1d4db2c46d61d7f"/>
    <w:p>
      <w:pPr>
        <w:pStyle w:val="Heading3"/>
      </w:pPr>
      <w:r>
        <w:t xml:space="preserve">7.2 What cannot be assumed and must be re-tested</w:t>
      </w:r>
    </w:p>
    <w:p>
      <w:pPr>
        <w:pStyle w:val="Compact"/>
        <w:numPr>
          <w:ilvl w:val="0"/>
          <w:numId w:val="1008"/>
        </w:numPr>
      </w:pPr>
      <w:r>
        <w:rPr>
          <w:b/>
          <w:bCs/>
        </w:rPr>
        <w:t xml:space="preserve">The exact ranking and metric values.</w:t>
      </w:r>
      <w:r>
        <w:t xml:space="preserve"> </w:t>
      </w:r>
      <w:r>
        <w:t xml:space="preserve">Accuracy, F1, and per-class performance are measurements of this specific synthetic dataset’s label distribution and feature-label relationships, which were designed to be plausible, not measured from real alerts. Real data may have a different class balance than 55/25/20, different feature-label relationships than the ones encoded here, and a different, unknown ceiling on how learnable NEEDS_REVIEW actually is.</w:t>
      </w:r>
    </w:p>
    <w:p>
      <w:pPr>
        <w:pStyle w:val="Compact"/>
        <w:numPr>
          <w:ilvl w:val="0"/>
          <w:numId w:val="1008"/>
        </w:numPr>
      </w:pPr>
      <w:r>
        <w:rPr>
          <w:b/>
          <w:bCs/>
        </w:rPr>
        <w:t xml:space="preserve">Which specific model wins.</w:t>
      </w:r>
      <w:r>
        <w:t xml:space="preserve"> </w:t>
      </w:r>
      <w:r>
        <w:t xml:space="preserve">Section 5.1 already shows the ranking among the three boosted-tree models shifts depending on how the class-imbalance problem is weighted, using only synthetic data. Real data introduces an additional, larger source of uncertainty on top of that — there is no basis in this comparison to predict which of XGBoost, CatBoost, or LightGBM would lead on real dispositions.</w:t>
      </w:r>
    </w:p>
    <w:p>
      <w:pPr>
        <w:pStyle w:val="Compact"/>
        <w:numPr>
          <w:ilvl w:val="0"/>
          <w:numId w:val="1008"/>
        </w:numPr>
      </w:pPr>
      <w:r>
        <w:rPr>
          <w:b/>
          <w:bCs/>
        </w:rPr>
        <w:t xml:space="preserve">NEEDS_REVIEW learnability.</w:t>
      </w:r>
      <w:r>
        <w:t xml:space="preserve"> </w:t>
      </w:r>
      <w:r>
        <w:t xml:space="preserve">The 61% miss rate found in the synthetic spot-check (Section 5.2) reflects the ambiguity this project’s data generator encoded, which is a design assumption, not a measured property of real analyst judgment. Real NEEDS_REVIEW tickets may be more or less learnable than synthesized here.</w:t>
      </w:r>
    </w:p>
    <w:bookmarkEnd w:id="28"/>
    <w:bookmarkStart w:id="29" w:name="recommended-path-to-real-data-validation"/>
    <w:p>
      <w:pPr>
        <w:pStyle w:val="Heading3"/>
      </w:pPr>
      <w:r>
        <w:t xml:space="preserve">7.3 Recommended path to real-data validation</w:t>
      </w:r>
    </w:p>
    <w:p>
      <w:pPr>
        <w:pStyle w:val="Compact"/>
        <w:numPr>
          <w:ilvl w:val="0"/>
          <w:numId w:val="1009"/>
        </w:numPr>
      </w:pPr>
      <w:r>
        <w:t xml:space="preserve">Once Option A shadow-mode data is available (live SIEM feed with analyst-confirmed dispositions), re-run the identical methodology described in Section 2 — same 7 models, same cross-validation procedure, same evaluation metrics — substituting the real dataset for</w:t>
      </w:r>
      <w:r>
        <w:t xml:space="preserve"> </w:t>
      </w:r>
      <w:r>
        <w:rPr>
          <w:rStyle w:val="VerbatimChar"/>
        </w:rPr>
        <w:t xml:space="preserve">tickets_4000.ndjson</w:t>
      </w:r>
      <w:r>
        <w:t xml:space="preserve">.</w:t>
      </w:r>
    </w:p>
    <w:p>
      <w:pPr>
        <w:pStyle w:val="Compact"/>
        <w:numPr>
          <w:ilvl w:val="0"/>
          <w:numId w:val="1009"/>
        </w:numPr>
      </w:pPr>
      <w:r>
        <w:t xml:space="preserve">Treat the current synthetic ranking as a hypothesis to test, not a conclusion to confirm. A different model leading on real data would not indicate an error in this comparison; it would indicate the synthetic assumptions did not fully match reality, which is expected and the reason real-data validation is a required step rather than a formality.</w:t>
      </w:r>
    </w:p>
    <w:p>
      <w:pPr>
        <w:pStyle w:val="Compact"/>
        <w:numPr>
          <w:ilvl w:val="0"/>
          <w:numId w:val="1009"/>
        </w:numPr>
      </w:pPr>
      <w:r>
        <w:t xml:space="preserve">Retain the current model registry and evaluation harness (</w:t>
      </w:r>
      <w:r>
        <w:rPr>
          <w:rStyle w:val="VerbatimChar"/>
        </w:rPr>
        <w:t xml:space="preserve">model_comparison/</w:t>
      </w:r>
      <w:r>
        <w:t xml:space="preserve">) as the basis for that re-evaluation, since the methodology itself (fairness principles, uniform treatment, disclosed exceptions) is independent of which dataset is loaded.</w:t>
      </w:r>
    </w:p>
    <w:p>
      <w:r>
        <w:pict>
          <v:rect style="width:0;height:1.5pt" o:hralign="center" o:hrstd="t" o:hr="t"/>
        </w:pict>
      </w:r>
    </w:p>
    <w:bookmarkEnd w:id="29"/>
    <w:bookmarkEnd w:id="30"/>
    <w:bookmarkStart w:id="31" w:name="reproducibility"/>
    <w:p>
      <w:pPr>
        <w:pStyle w:val="Heading2"/>
      </w:pPr>
      <w:r>
        <w:t xml:space="preserve">8. Reproducibility</w:t>
      </w:r>
    </w:p>
    <w:p>
      <w:pPr>
        <w:pStyle w:val="FirstParagraph"/>
      </w:pPr>
      <w:r>
        <w:t xml:space="preserve">All results in this document can be regenerated exactly:</w:t>
      </w:r>
    </w:p>
    <w:p>
      <w:pPr>
        <w:pStyle w:val="SourceCode"/>
      </w:pPr>
      <w:r>
        <w:rPr>
          <w:rStyle w:val="VerbatimChar"/>
        </w:rPr>
        <w:t xml:space="preserve">cd backend</w:t>
      </w:r>
      <w:r>
        <w:br/>
      </w:r>
      <w:r>
        <w:rPr>
          <w:rStyle w:val="VerbatimChar"/>
        </w:rPr>
        <w:t xml:space="preserve">python -m model_comparison.generate_tickets_v2   # regenerates tickets_4000.ndjson</w:t>
      </w:r>
      <w:r>
        <w:br/>
      </w:r>
      <w:r>
        <w:rPr>
          <w:rStyle w:val="VerbatimChar"/>
        </w:rPr>
        <w:t xml:space="preserve">python -m model_comparison.compare                 # regenerates comparison_results.json</w:t>
      </w:r>
      <w:r>
        <w:br/>
      </w:r>
      <w:r>
        <w:rPr>
          <w:rStyle w:val="VerbatimChar"/>
        </w:rPr>
        <w:t xml:space="preserve">python -m model_comparison.spot_check              # regenerates the held-out spot-check</w:t>
      </w:r>
    </w:p>
    <w:p>
      <w:pPr>
        <w:pStyle w:val="FirstParagraph"/>
      </w:pPr>
      <w:r>
        <w:t xml:space="preserve">Current configuration values (as of this document):</w:t>
      </w:r>
      <w:r>
        <w:t xml:space="preserve"> </w:t>
      </w:r>
      <w:r>
        <w:rPr>
          <w:rStyle w:val="VerbatimChar"/>
        </w:rPr>
        <w:t xml:space="preserve">SAMPLE_WEIGHT_POWER = 0.3</w:t>
      </w:r>
      <w:r>
        <w:t xml:space="preserve"> </w:t>
      </w:r>
      <w:r>
        <w:t xml:space="preserve">(</w:t>
      </w:r>
      <w:r>
        <w:rPr>
          <w:rStyle w:val="VerbatimChar"/>
        </w:rPr>
        <w:t xml:space="preserve">model_comparison/models.py</w:t>
      </w:r>
      <w:r>
        <w:t xml:space="preserve">),</w:t>
      </w:r>
      <w:r>
        <w:t xml:space="preserve"> </w:t>
      </w:r>
      <w:r>
        <w:rPr>
          <w:rStyle w:val="VerbatimChar"/>
        </w:rPr>
        <w:t xml:space="preserve">TARGET_RATIO = {FALSE_POSITIVE: 0.55, TRUE_POSITIVE: 0.25, NEEDS_REVIEW: 0.20}</w:t>
      </w:r>
      <w:r>
        <w:t xml:space="preserve"> </w:t>
      </w:r>
      <w:r>
        <w:t xml:space="preserve">(</w:t>
      </w:r>
      <w:r>
        <w:rPr>
          <w:rStyle w:val="VerbatimChar"/>
        </w:rPr>
        <w:t xml:space="preserve">model_comparison/generate_tickets_v2.py</w:t>
      </w:r>
      <w:r>
        <w:t xml:space="preserve">), single mixed-history NEEDS_REVIEW trigger, 17-feature set (</w:t>
      </w:r>
      <w:r>
        <w:rPr>
          <w:rStyle w:val="VerbatimChar"/>
        </w:rPr>
        <w:t xml:space="preserve">model_comparison/features.py</w:t>
      </w:r>
      <w:r>
        <w:t xml:space="preserve">).</w:t>
      </w:r>
    </w:p>
    <w:p>
      <w:pPr>
        <w:pStyle w:val="BodyText"/>
      </w:pPr>
      <w:r>
        <w:t xml:space="preserve">Live results are also served via</w:t>
      </w:r>
      <w:r>
        <w:t xml:space="preserve"> </w:t>
      </w:r>
      <w:r>
        <w:rPr>
          <w:rStyle w:val="VerbatimChar"/>
        </w:rPr>
        <w:t xml:space="preserve">GET /api/model-comparison</w:t>
      </w:r>
      <w:r>
        <w:t xml:space="preserve"> </w:t>
      </w:r>
      <w:r>
        <w:t xml:space="preserve">and displayed in the app’s</w:t>
      </w:r>
      <w:r>
        <w:t xml:space="preserve"> </w:t>
      </w:r>
      <w:r>
        <w:t xml:space="preserve">“Model Comparison”</w:t>
      </w:r>
      <w:r>
        <w:t xml:space="preserve"> </w:t>
      </w:r>
      <w:r>
        <w:t xml:space="preserve">tab.</w:t>
      </w:r>
    </w:p>
    <w:bookmarkEnd w:id="31"/>
    <w:bookmarkEnd w:id="3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SOC Triage Classifier Model Comparison</dc:title>
  <dc:creator>Internal Technical Note</dc:creator>
  <cp:keywords/>
  <dcterms:created xsi:type="dcterms:W3CDTF">2026-07-23T20:55:35Z</dcterms:created>
  <dcterms:modified xsi:type="dcterms:W3CDTF">2026-07-23T20:55:35Z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Draft — for internal review</vt:lpwstr>
  </property>
</Properties>
</file>