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w:t>
      </w:r>
      <w:r>
        <w:rPr>
          <w:rFonts w:hint="default" w:ascii="Times New Roman" w:hAnsi="Times New Roman" w:eastAsia="SimSun" w:cs="Times New Roman"/>
          <w:color w:val="000000"/>
          <w:sz w:val="24"/>
          <w:szCs w:val="24"/>
          <w:lang w:val="en" w:eastAsia="zh-CN"/>
        </w:rPr>
        <w:t>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right w:val="nil"/>
            </w:tcBorders>
            <w:noWrap w:val="0"/>
            <w:vAlign w:val="top"/>
          </w:tcPr>
          <w:p>
            <w:pPr>
              <w:rPr>
                <w:rFonts w:hint="default"/>
                <w:sz w:val="24"/>
                <w:lang w:val="en"/>
              </w:rPr>
            </w:pPr>
            <w:r>
              <w:rPr>
                <w:rFonts w:hint="default"/>
                <w:sz w:val="24"/>
                <w:lang w:val="en"/>
              </w:rPr>
              <w:t>Thermo Fisher Scientific</w:t>
            </w:r>
          </w:p>
        </w:tc>
      </w:tr>
    </w:tbl>
    <w:p>
      <w:pPr>
        <w:rPr>
          <w:rFonts w:hint="eastAsia"/>
        </w:rPr>
      </w:pPr>
    </w:p>
    <w:p>
      <w:pPr>
        <w:pStyle w:val="3"/>
        <w:bidi w:val="0"/>
        <w:rPr>
          <w:rFonts w:hint="eastAsia"/>
        </w:rPr>
      </w:pPr>
      <w:r>
        <w:rPr>
          <w:rFonts w:hint="eastAsia"/>
        </w:rPr>
        <w:t>2.2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 xml:space="preserve">2.3 </w:t>
      </w:r>
      <w:r>
        <w:rPr>
          <w:rFonts w:hint="default"/>
          <w:lang w:val="en"/>
        </w:rPr>
        <w:t>硅基气凝胶</w:t>
      </w:r>
      <w:r>
        <w:rPr>
          <w:rFonts w:hint="eastAsia"/>
        </w:rPr>
        <w:t>的合成实验</w:t>
      </w:r>
    </w:p>
    <w:p>
      <w:pPr>
        <w:pStyle w:val="4"/>
        <w:bidi w:val="0"/>
        <w:jc w:val="left"/>
        <w:rPr>
          <w:rFonts w:hint="default" w:ascii="SimSun" w:hAnsi="SimSun" w:eastAsia="SimSun" w:cs="SimSun"/>
          <w:sz w:val="24"/>
          <w:szCs w:val="24"/>
          <w:lang w:val="en"/>
        </w:rPr>
      </w:pPr>
      <w:r>
        <w:rPr>
          <w:rFonts w:hint="default" w:ascii="SimSun" w:hAnsi="SimSun" w:eastAsia="SimSun" w:cs="SimSun"/>
          <w:sz w:val="24"/>
          <w:szCs w:val="24"/>
          <w:lang w:val="en"/>
        </w:rPr>
        <w:t>2.3.1实验原理</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w:t>
      </w:r>
      <w:bookmarkStart w:id="0" w:name="_GoBack"/>
      <w:r>
        <w:rPr>
          <w:rFonts w:hint="default"/>
          <w:sz w:val="24"/>
          <w:lang w:val="en"/>
        </w:rPr>
        <w:t>燥后</w:t>
      </w:r>
      <w:bookmarkEnd w:id="0"/>
      <w:r>
        <w:rPr>
          <w:rFonts w:hint="default"/>
          <w:sz w:val="24"/>
          <w:lang w:val="en"/>
        </w:rPr>
        <w:t>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2.3.3.1 </w:t>
      </w:r>
      <w:r>
        <w:rPr>
          <w:rFonts w:hint="default" w:ascii="黑体" w:hAnsi="黑体" w:eastAsia="黑体" w:cs="黑体"/>
          <w:b/>
          <w:sz w:val="24"/>
          <w:szCs w:val="24"/>
          <w:lang w:val="en" w:eastAsia="zh-CN"/>
        </w:rPr>
        <w:t>以H2O作为单因素进行探究实验</w:t>
      </w:r>
    </w:p>
    <w:p>
      <w:pPr>
        <w:ind w:firstLine="480" w:firstLineChars="200"/>
        <w:rPr>
          <w:rFonts w:hint="default" w:ascii="Times New Roman" w:hAnsi="Times New Roman" w:eastAsia="SimSun" w:cs="Times New Roman"/>
          <w:color w:val="000000"/>
          <w:sz w:val="24"/>
          <w:szCs w:val="24"/>
          <w:lang w:val="en" w:eastAsia="zh-CN"/>
        </w:rPr>
      </w:pPr>
      <w:r>
        <w:rPr>
          <w:rFonts w:hint="default" w:ascii="Times New Roman" w:hAnsi="Times New Roman" w:eastAsia="SimSun" w:cs="Times New Roman"/>
          <w:color w:val="000000"/>
          <w:sz w:val="24"/>
          <w:szCs w:val="24"/>
          <w:lang w:val="en" w:eastAsia="zh-CN"/>
        </w:rPr>
        <w:t>将H</w:t>
      </w:r>
      <w:r>
        <w:rPr>
          <w:rFonts w:hint="default" w:ascii="Times New Roman" w:hAnsi="Times New Roman" w:eastAsia="SimSun" w:cs="Times New Roman"/>
          <w:color w:val="000000"/>
          <w:sz w:val="24"/>
          <w:szCs w:val="24"/>
          <w:vertAlign w:val="subscript"/>
          <w:lang w:val="en" w:eastAsia="zh-CN"/>
        </w:rPr>
        <w:t>2</w:t>
      </w:r>
      <w:r>
        <w:rPr>
          <w:rFonts w:hint="default" w:ascii="Times New Roman" w:hAnsi="Times New Roman" w:eastAsia="SimSun" w:cs="Times New Roman"/>
          <w:color w:val="000000"/>
          <w:sz w:val="24"/>
          <w:szCs w:val="24"/>
          <w:lang w:val="en" w:eastAsia="zh-CN"/>
        </w:rPr>
        <w:t>O设置体积梯度，从0-2.0（0,0.2,0.4,0.6,0.8,1.0,1.2,1.4,1.6,1.8,2.0）进行单因素实验。</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keepNext w:val="0"/>
        <w:keepLines w:val="0"/>
        <w:widowControl/>
        <w:suppressLineNumbers w:val="0"/>
        <w:ind w:firstLine="480" w:firstLineChars="200"/>
        <w:jc w:val="left"/>
        <w:rPr>
          <w:rFonts w:hint="default"/>
          <w:sz w:val="24"/>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2.3.3.2 </w:t>
      </w:r>
      <w:r>
        <w:rPr>
          <w:rFonts w:hint="default" w:ascii="黑体" w:hAnsi="黑体" w:eastAsia="黑体" w:cs="黑体"/>
          <w:b/>
          <w:sz w:val="24"/>
          <w:szCs w:val="24"/>
          <w:lang w:val="en" w:eastAsia="zh-CN"/>
        </w:rPr>
        <w:t>以乙醇作为单因素进行探究实验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2.3.3.5 以水解温度作为单因素进行探究实验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2.3.3.6 以水解时长作为单因素进行探究实验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2.3.3.7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2.3.3.8 以干燥条件作为单因素进行探究实验</w:t>
      </w:r>
    </w:p>
    <w:p>
      <w:pPr>
        <w:rPr>
          <w:rFonts w:hint="default"/>
          <w:lang w:val="en" w:eastAsia="zh-CN"/>
        </w:rPr>
      </w:pPr>
      <w:r>
        <w:rPr>
          <w:rFonts w:hint="default"/>
          <w:lang w:val="en" w:eastAsia="zh-CN"/>
        </w:rPr>
        <w:br w:type="page"/>
      </w:r>
    </w:p>
    <w:p>
      <w:pPr>
        <w:rPr>
          <w:rFonts w:hint="default"/>
          <w:lang w:val="en" w:eastAsia="zh-CN"/>
        </w:rPr>
      </w:pPr>
    </w:p>
    <w:p>
      <w:pPr>
        <w:pStyle w:val="3"/>
        <w:bidi w:val="0"/>
        <w:rPr>
          <w:rFonts w:hint="eastAsia"/>
        </w:rPr>
      </w:pPr>
      <w:r>
        <w:rPr>
          <w:rFonts w:hint="eastAsia"/>
        </w:rPr>
        <w:t>2.4 XXX对YYY的吸附实验</w:t>
      </w:r>
    </w:p>
    <w:p>
      <w:pPr>
        <w:pStyle w:val="3"/>
        <w:bidi w:val="0"/>
        <w:rPr>
          <w:rFonts w:hint="eastAsia"/>
        </w:rPr>
      </w:pPr>
      <w:r>
        <w:rPr>
          <w:rFonts w:hint="eastAsia"/>
        </w:rPr>
        <w:t>2.4.1 XXX对吸附的影响</w:t>
      </w:r>
    </w:p>
    <w:p>
      <w:pPr>
        <w:rPr>
          <w:rFonts w:hint="eastAsia"/>
        </w:rPr>
      </w:pPr>
      <w:r>
        <w:rPr>
          <w:rFonts w:hint="eastAsia"/>
        </w:rPr>
        <w:t>2.4.2…..</w:t>
      </w:r>
    </w:p>
    <w:p>
      <w:pPr>
        <w:pStyle w:val="3"/>
        <w:bidi w:val="0"/>
        <w:rPr>
          <w:rFonts w:hint="eastAsia"/>
        </w:rPr>
      </w:pPr>
      <w:r>
        <w:rPr>
          <w:rFonts w:hint="eastAsia"/>
        </w:rPr>
        <w:t>2.5 表征实验</w:t>
      </w:r>
    </w:p>
    <w:p>
      <w:pPr>
        <w:rPr>
          <w:rFonts w:hint="eastAsia"/>
        </w:rPr>
      </w:pPr>
      <w:r>
        <w:rPr>
          <w:rFonts w:hint="eastAsia"/>
        </w:rPr>
        <w:t>2.5.1 XXX的测定</w:t>
      </w:r>
    </w:p>
    <w:p>
      <w:pPr>
        <w:rPr>
          <w:rFonts w:hint="eastAsia"/>
        </w:rPr>
      </w:pPr>
      <w:r>
        <w:rPr>
          <w:rFonts w:hint="eastAsia"/>
        </w:rPr>
        <w:t>2.5.2 YYY的测定</w:t>
      </w:r>
    </w:p>
    <w:p>
      <w:pPr>
        <w:rPr>
          <w:rFonts w:hint="eastAsia"/>
        </w:rPr>
      </w:pPr>
      <w:r>
        <w:rPr>
          <w:rFonts w:hint="eastAsia"/>
        </w:rPr>
        <w:t>……（整个第二章只涉及实验过程，不涉及实验结果，很说清楚实验具体是怎么做的）</w:t>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Noto Sans CJK HK Black">
    <w:panose1 w:val="020B0A00000000000000"/>
    <w:charset w:val="88"/>
    <w:family w:val="auto"/>
    <w:pitch w:val="default"/>
    <w:sig w:usb0="30000083" w:usb1="2BDF3C10" w:usb2="00000016" w:usb3="00000000" w:csb0="603A0107" w:csb1="00000000"/>
  </w:font>
  <w:font w:name="C059">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Lohit Kannada">
    <w:panose1 w:val="020B0600000000000000"/>
    <w:charset w:val="00"/>
    <w:family w:val="auto"/>
    <w:pitch w:val="default"/>
    <w:sig w:usb0="80408003" w:usb1="00002002"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33FDCCC3"/>
    <w:rsid w:val="67EE971A"/>
    <w:rsid w:val="6BB69A26"/>
    <w:rsid w:val="76DFB494"/>
    <w:rsid w:val="7FABE675"/>
    <w:rsid w:val="7FF5AE92"/>
    <w:rsid w:val="9DEB02EA"/>
    <w:rsid w:val="BFFB7D85"/>
    <w:rsid w:val="DBDF8C22"/>
    <w:rsid w:val="DFFF10AF"/>
    <w:rsid w:val="F7CF0A93"/>
    <w:rsid w:val="F7F72A2E"/>
    <w:rsid w:val="FDBCB306"/>
    <w:rsid w:val="FEFF0C01"/>
    <w:rsid w:val="FF7F68D9"/>
    <w:rsid w:val="FFA74704"/>
    <w:rsid w:val="FFE7F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2021-05-26T07:02:00Z</dcterms:created>
  <dc:creator>vijaywang</dc:creator>
  <cp:lastModifiedBy>vijaywang</cp:lastModifiedBy>
  <dcterms:modified xsi:type="dcterms:W3CDTF">2021-05-26T20:26:01Z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