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Q2 — Build MIRA</w:t>
      </w:r>
    </w:p>
    <w:p>
      <w:r>
        <w:rPr>
          <w:i/>
        </w:rPr>
        <w:t>MIRA — AI-Powered Project Intelligence Assistant</w:t>
      </w:r>
    </w:p>
    <w:p>
      <w:pPr>
        <w:pStyle w:val="Heading1"/>
      </w:pPr>
      <w:r>
        <w:t>A. Design &amp; Architecture</w:t>
      </w:r>
    </w:p>
    <w:p>
      <w:r>
        <w:t>MIRA is a multi-agent n8n workflow. Chat Trigger → Google Drive ingestion → Merge context → Orchestrator → Router → specialist → output formatting → Langfuse → Chat Response.</w:t>
      </w:r>
    </w:p>
    <w:p>
      <w:pPr>
        <w:pStyle w:val="Heading2"/>
      </w:pPr>
      <w:r>
        <w:t>Why Router / Dispatcher?</w:t>
      </w:r>
    </w:p>
    <w:p>
      <w:r>
        <w:t>Requests are single-intent and heterogeneous. Routing avoids running unnecessary specialist agents. Sequential execution would run all agents; hierarchical decomposition is not required for the current request model.</w:t>
      </w:r>
    </w:p>
    <w:p>
      <w:pPr>
        <w:pStyle w:val="Heading2"/>
      </w:pPr>
      <w:r>
        <w:t>Agent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b/>
                <w:sz w:val="18"/>
              </w:rPr>
              <w:t>Agent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Orchestrator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Intent classification / routing key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Planner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Structured project plan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Risk Assessor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Categorized risk matrix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Status Reporter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Weekly status + deterministic counts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Milestone Tracker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Milestone tracking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Stakeholder Update Generator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Sprint-scoped stakeholder communication</w:t>
            </w:r>
          </w:p>
        </w:tc>
      </w:tr>
    </w:tbl>
    <w:p/>
    <w:p>
      <w:pPr>
        <w:pStyle w:val="Heading2"/>
      </w:pPr>
      <w:r>
        <w:t>Tools</w:t>
      </w:r>
    </w:p>
    <w:p>
      <w:pPr>
        <w:pStyle w:val="ListBullet"/>
      </w:pPr>
      <w:r>
        <w:t>n8n — orchestration</w:t>
      </w:r>
    </w:p>
    <w:p>
      <w:pPr>
        <w:pStyle w:val="ListBullet"/>
      </w:pPr>
      <w:r>
        <w:t>Google Drive + Extract From File + Aggregate — ingestion</w:t>
      </w:r>
    </w:p>
    <w:p>
      <w:pPr>
        <w:pStyle w:val="ListBullet"/>
      </w:pPr>
      <w:r>
        <w:t>Code node — deterministic task counts</w:t>
      </w:r>
    </w:p>
    <w:p>
      <w:pPr>
        <w:pStyle w:val="ListBullet"/>
      </w:pPr>
      <w:r>
        <w:t>OpenAI chat model — generation/reasoning</w:t>
      </w:r>
    </w:p>
    <w:p>
      <w:pPr>
        <w:pStyle w:val="ListBullet"/>
      </w:pPr>
      <w:r>
        <w:t>Langfuse via HTTP Request — observability</w:t>
      </w:r>
    </w:p>
    <w:p>
      <w:pPr>
        <w:pStyle w:val="Heading1"/>
      </w:pPr>
      <w:r>
        <w:t>B. Implementation</w:t>
      </w:r>
    </w:p>
    <w:p>
      <w:pPr>
        <w:pStyle w:val="Heading2"/>
      </w:pPr>
      <w:r>
        <w:t>Core</w:t>
      </w:r>
    </w:p>
    <w:p>
      <w:pPr>
        <w:pStyle w:val="ListBullet"/>
      </w:pPr>
      <w:r>
        <w:t>Project plan generation</w:t>
      </w:r>
    </w:p>
    <w:p>
      <w:pPr>
        <w:pStyle w:val="ListBullet"/>
      </w:pPr>
      <w:r>
        <w:t>Risk assessment</w:t>
      </w:r>
    </w:p>
    <w:p>
      <w:pPr>
        <w:pStyle w:val="ListBullet"/>
      </w:pPr>
      <w:r>
        <w:t>Weekly status report</w:t>
      </w:r>
    </w:p>
    <w:p>
      <w:pPr>
        <w:pStyle w:val="Heading2"/>
      </w:pPr>
      <w:r>
        <w:t>Extended</w:t>
      </w:r>
    </w:p>
    <w:p>
      <w:pPr>
        <w:pStyle w:val="ListBullet"/>
      </w:pPr>
      <w:r>
        <w:t>Milestone alert system</w:t>
      </w:r>
    </w:p>
    <w:p>
      <w:pPr>
        <w:pStyle w:val="ListBullet"/>
      </w:pPr>
      <w:r>
        <w:t>Stakeholder update generator</w:t>
      </w:r>
    </w:p>
    <w:p>
      <w:pPr>
        <w:pStyle w:val="Heading2"/>
      </w:pPr>
      <w:r>
        <w:t>Guardrails</w:t>
      </w:r>
    </w:p>
    <w:p>
      <w:pPr>
        <w:pStyle w:val="ListBullet"/>
      </w:pPr>
      <w:r>
        <w:t>Ground outputs in source files.</w:t>
      </w:r>
    </w:p>
    <w:p>
      <w:pPr>
        <w:pStyle w:val="ListBullet"/>
      </w:pPr>
      <w:r>
        <w:t>Do not invent milestones, risks or task statuses.</w:t>
      </w:r>
    </w:p>
    <w:p>
      <w:pPr>
        <w:pStyle w:val="ListBullet"/>
      </w:pPr>
      <w:r>
        <w:t>Ask for missing details on vague requests.</w:t>
      </w:r>
    </w:p>
    <w:p>
      <w:pPr>
        <w:pStyle w:val="ListBullet"/>
      </w:pPr>
      <w:r>
        <w:t>Orchestrator emits one specialist name.</w:t>
      </w:r>
    </w:p>
    <w:p>
      <w:pPr>
        <w:pStyle w:val="Heading2"/>
      </w:pPr>
      <w:r>
        <w:t>Testing Status</w:t>
      </w:r>
    </w:p>
    <w:p>
      <w:r>
        <w:t>Verified in the supplied documentation: T5, T8, T11 and T12. T10 is pending re-run. T1–T4, T6, T7 and T9 are pending.</w:t>
      </w:r>
    </w:p>
    <w:p>
      <w:pPr>
        <w:pStyle w:val="Heading1"/>
      </w:pPr>
      <w:r>
        <w:t>C. Cost &amp; Evaluation</w:t>
      </w:r>
    </w:p>
    <w:p>
      <w:r>
        <w:t>The Router pattern uses one short Orchestrator call plus one specialist call. The supplied document describes a few-US-cent estimate for a small model, but this is an estimate, not a measured result. Replace it with measured Langfuse token/cost figures after final runs.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b/>
                <w:sz w:val="18"/>
              </w:rPr>
              <w:t>Target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Grounding accuracy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100%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Routing accuracy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95%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Count correctness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100%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Refusal correctness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100%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Latency / cost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Measure in Langfuse</w:t>
            </w:r>
          </w:p>
        </w:tc>
      </w:tr>
    </w:tbl>
    <w:p/>
    <w:p>
      <w:pPr>
        <w:pStyle w:val="Heading2"/>
      </w:pPr>
      <w:r>
        <w:t>Key Build Lessons</w:t>
      </w:r>
    </w:p>
    <w:p>
      <w:pPr>
        <w:pStyle w:val="ListBullet"/>
      </w:pPr>
      <w:r>
        <w:t>Routing required strict output discipline.</w:t>
      </w:r>
    </w:p>
    <w:p>
      <w:pPr>
        <w:pStyle w:val="ListBullet"/>
      </w:pPr>
      <w:r>
        <w:t>LLM counting was replaced with deterministic code.</w:t>
      </w:r>
    </w:p>
    <w:p>
      <w:pPr>
        <w:pStyle w:val="ListBullet"/>
      </w:pPr>
      <w:r>
        <w:t>Ingestion quality matters: duplicate Drive files can corrupt counts.</w:t>
      </w:r>
    </w:p>
    <w:p>
      <w:pPr>
        <w:pStyle w:val="ListBullet"/>
      </w:pPr>
      <w:r>
        <w:t>API credit exhaustion can block agent execution.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