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64748B"/>
          <w:sz w:val="20"/>
          <w:szCs w:val="20"/>
        </w:rPr>
        <w:t xml:space="preserve">SOLUTION DESIGN DOCUMENT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E3A5F"/>
          <w:sz w:val="48"/>
          <w:szCs w:val="48"/>
        </w:rPr>
        <w:t xml:space="preserve">Backend-for-Frontend (BFF) Architecture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A5E9"/>
          <w:sz w:val="32"/>
          <w:szCs w:val="32"/>
        </w:rPr>
        <w:t xml:space="preserve">Quotation &amp; Payment Platform</w:t>
      </w:r>
    </w:p>
    <w:p>
      <w:pPr>
        <w:pBdr>
          <w:bottom w:val="single" w:color="0EA5E9" w:sz="8" w:space="1"/>
        </w:pBdr>
        <w:spacing w:before="0" w:after="120"/>
      </w:pP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Portals Served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Customer Portal  |  Agent Portal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Upstream Services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Quotation Microservice  |  Payment Microservice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Confidential — Internal Use Only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Compliance Scope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PII / PDPA · PCI-DSS Level 1 · ISO 27001</w:t>
            </w:r>
          </w:p>
        </w:tc>
      </w:tr>
    </w:tbl>
    <w:p>
      <w:r>
        <w:br w:type="page"/>
      </w:r>
    </w:p>
    <w:p>
      <w:pPr>
        <w:spacing w:before="280" w:after="0"/>
      </w:pPr>
    </w:p>
    <w:p>
      <w:pPr>
        <w:spacing w:before="0" w:after="8"/>
      </w:pPr>
      <w:r>
        <w:rPr>
          <w:rFonts w:ascii="Calibri" w:cs="Calibri" w:eastAsia="Calibri" w:hAnsi="Calibri"/>
          <w:b/>
          <w:bCs/>
          <w:i w:val="false"/>
          <w:iCs w:val="false"/>
          <w:color w:val="E2E8F0"/>
          <w:sz w:val="56"/>
          <w:szCs w:val="56"/>
        </w:rPr>
        <w:t xml:space="preserve">01</w:t>
      </w:r>
      <w:r>
        <w:rPr>
          <w:rFonts w:ascii="Calibri" w:cs="Calibri" w:eastAsia="Calibri" w:hAnsi="Calibri"/>
          <w:b/>
          <w:bCs/>
          <w:i w:val="false"/>
          <w:iCs w:val="false"/>
          <w:color w:val="1E3A5F"/>
          <w:sz w:val="32"/>
          <w:szCs w:val="32"/>
        </w:rPr>
        <w:t xml:space="preserve">  Executive Summary</w:t>
      </w:r>
    </w:p>
    <w:p>
      <w:pPr>
        <w:pBdr>
          <w:bottom w:val="single" w:color="0EA5E9" w:sz="6" w:space="1"/>
        </w:pBdr>
        <w:spacing w:before="0" w:after="120"/>
      </w:pPr>
    </w:p>
    <w:p>
      <w:pPr>
        <w:spacing w:before="0"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document describes the architecture, technology choices, deployment topology, observability strategy, and security posture for a Backend-for-Frontend (BFF) layer that integrates an existing Quotation Microservice and Payment Microservice into two distinct user-facing portals: the Customer Portal and the Agent Portal.</w:t>
      </w:r>
    </w:p>
    <w:p>
      <w:pPr>
        <w:spacing w:before="0"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Rather than exposing raw microservice APIs directly to clients, a dedicated BFF per portal aggregates, filters, shapes, and secures responses according to the unique data and UX requirements of each audience. This approach isolates client-specific concerns from domain logic, reduces over-fetching, enforces fine-grained access control, and provides a single surface at which cross-cutting concerns such as authentication, PII masking, caching, and observability can be consistently applied.</w:t>
      </w:r>
    </w:p>
    <w:p>
      <w:pPr>
        <w:pBdr>
          <w:left w:val="single" w:color="0EA5E9" w:sz="12" w:space="120"/>
        </w:pBdr>
        <w:spacing w:before="120" w:after="120"/>
        <w:ind w:left="720" w:hanging="0"/>
      </w:pPr>
      <w:r>
        <w:rPr>
          <w:rFonts w:ascii="Calibri" w:cs="Calibri" w:eastAsia="Calibri" w:hAnsi="Calibri"/>
          <w:b/>
          <w:bCs/>
          <w:color w:val="0EA5E9"/>
          <w:sz w:val="20"/>
          <w:szCs w:val="20"/>
        </w:rPr>
        <w:t xml:space="preserve">Key Principle: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One BFF per client type — Customer BFF serves the self-service portal; Agent BFF serves the internal agent/broker portal. Both sit behind a shared API Gateway and WAF.</w:t>
      </w:r>
    </w:p>
    <w:p>
      <w:pPr>
        <w:spacing w:before="280" w:after="0"/>
      </w:pPr>
    </w:p>
    <w:p>
      <w:pPr>
        <w:spacing w:before="0" w:after="8"/>
      </w:pPr>
      <w:r>
        <w:rPr>
          <w:rFonts w:ascii="Calibri" w:cs="Calibri" w:eastAsia="Calibri" w:hAnsi="Calibri"/>
          <w:b/>
          <w:bCs/>
          <w:i w:val="false"/>
          <w:iCs w:val="false"/>
          <w:color w:val="E2E8F0"/>
          <w:sz w:val="56"/>
          <w:szCs w:val="56"/>
        </w:rPr>
        <w:t xml:space="preserve">02</w:t>
      </w:r>
      <w:r>
        <w:rPr>
          <w:rFonts w:ascii="Calibri" w:cs="Calibri" w:eastAsia="Calibri" w:hAnsi="Calibri"/>
          <w:b/>
          <w:bCs/>
          <w:i w:val="false"/>
          <w:iCs w:val="false"/>
          <w:color w:val="1E3A5F"/>
          <w:sz w:val="32"/>
          <w:szCs w:val="32"/>
        </w:rPr>
        <w:t xml:space="preserve">  Architecture Overview</w:t>
      </w:r>
    </w:p>
    <w:p>
      <w:pPr>
        <w:pBdr>
          <w:bottom w:val="single" w:color="0EA5E9" w:sz="6" w:space="1"/>
        </w:pBdr>
        <w:spacing w:before="0" w:after="120"/>
      </w:pP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0EA5E9"/>
          <w:sz w:val="26"/>
          <w:szCs w:val="26"/>
        </w:rPr>
        <w:t xml:space="preserve">2.1  Architectural Pattern</w:t>
      </w:r>
    </w:p>
    <w:p>
      <w:pPr>
        <w:spacing w:before="0"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solution adopts a layered, cloud-native architecture with five logical tiers: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Client Zone — React SPAs and mobile apps consumed by customers and agents.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Edge / CDN Zone — WAF, CDN, API Gateway, and Load Balancer for perimeter security and routing.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BFF Layer — Two stateless Node.js services (Customer BFF, Agent BFF) with shared infrastructure modules.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Microservice Zone — Quotation MS and Payment MS, communicating over gRPC within a service mesh.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External Zone — Payment gateway, notification provider, fraud detection engine, and telemetry platform.</w:t>
      </w:r>
    </w:p>
    <w:p>
      <w:pPr>
        <w:spacing w:before="0" w:after="60"/>
      </w:pP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0EA5E9"/>
          <w:sz w:val="26"/>
          <w:szCs w:val="26"/>
        </w:rPr>
        <w:t xml:space="preserve">2.2  BFF Responsibilities</w:t>
      </w:r>
    </w:p>
    <w:p>
      <w:pPr>
        <w:spacing w:before="0"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Each BFF handles concerns that belong at the interface layer rather than inside domain microservices: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Customer BFF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 BFF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Protocol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GraphQL (primary) + REST fallback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REST + GraphQL — bulk operations via REST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JWT verification, PKCE OIDC flow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JWT verification, service account support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Authorisation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Scope-based (customer:read, pay:initiate)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RBAC with fine-grained permission claims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PII Handling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Mask/redact fields before response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Full PII visible per regulatory role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Response Shaping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Minimal fields, mobile-optimised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Rich data, aggregated views for CRM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Caching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Aggressive Redis cache (quote TTL 5 min)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Shorter TTL, per-agent namespace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Per-user token bucket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Per-agent + per-org limits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Quote view / payment initiation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All mutations fully attributed</w:t>
            </w:r>
          </w:p>
        </w:tc>
      </w:tr>
    </w:tbl>
    <w:p>
      <w:pPr>
        <w:spacing w:before="60" w:after="0"/>
      </w:pP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0EA5E9"/>
          <w:sz w:val="26"/>
          <w:szCs w:val="26"/>
        </w:rPr>
        <w:t xml:space="preserve">2.3  Communication Protocols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Client → BFF: HTTPS / HTTP2 with TLS 1.3. GraphQL over POST /graphql. REST endpoints for webhooks and file uploads.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BFF → Microservices: gRPC with Protocol Buffers over mTLS. Deadlines enforced on every call. Streaming used for bulk quote operations.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BFF → External Services: HTTPS REST with mutual TLS where supported (payment gateway). OAuth 2.0 client credentials for notification APIs.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Async Events: Kafka topics for payment status updates, quote expiry notifications, and audit log shipping.</w:t>
      </w:r>
    </w:p>
    <w:p>
      <w:pPr>
        <w:spacing w:before="0" w:after="60"/>
      </w:pP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0EA5E9"/>
          <w:sz w:val="26"/>
          <w:szCs w:val="26"/>
        </w:rPr>
        <w:t xml:space="preserve">2.4  Shared BFF Infrastructure Modules</w:t>
      </w:r>
    </w:p>
    <w:p>
      <w:pPr>
        <w:spacing w:before="0"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Both BFFs share a set of library modules deployed as internal npm packages: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@bff/auth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JWT decode, JWKS caching, token refresh, session store (Redis)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@bff/circuit-breaker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Opossum-based breakers per downstream; configurable thresholds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@bff/cache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Redis cache with namespace isolation, TTL policies, cache-aside pattern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@bff/pii-filter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Field-level masking rules declaratively configured per portal role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@bff/tracing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OpenTelemetry SDK — auto-instrument Fastify, gRPC, Redis, Kafka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@bff/audit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Structured audit log publisher to Kafka topic bff.audit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@bff/secrets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Vault SDK wrapper — runtime secret injection, lease renewal</w:t>
            </w:r>
          </w:p>
        </w:tc>
      </w:tr>
    </w:tbl>
    <w:p>
      <w:r>
        <w:br w:type="page"/>
      </w:r>
    </w:p>
    <w:p>
      <w:pPr>
        <w:spacing w:before="280" w:after="0"/>
      </w:pPr>
    </w:p>
    <w:p>
      <w:pPr>
        <w:spacing w:before="0" w:after="8"/>
      </w:pPr>
      <w:r>
        <w:rPr>
          <w:rFonts w:ascii="Calibri" w:cs="Calibri" w:eastAsia="Calibri" w:hAnsi="Calibri"/>
          <w:b/>
          <w:bCs/>
          <w:i w:val="false"/>
          <w:iCs w:val="false"/>
          <w:color w:val="E2E8F0"/>
          <w:sz w:val="56"/>
          <w:szCs w:val="56"/>
        </w:rPr>
        <w:t xml:space="preserve">03</w:t>
      </w:r>
      <w:r>
        <w:rPr>
          <w:rFonts w:ascii="Calibri" w:cs="Calibri" w:eastAsia="Calibri" w:hAnsi="Calibri"/>
          <w:b/>
          <w:bCs/>
          <w:i w:val="false"/>
          <w:iCs w:val="false"/>
          <w:color w:val="1E3A5F"/>
          <w:sz w:val="32"/>
          <w:szCs w:val="32"/>
        </w:rPr>
        <w:t xml:space="preserve">  Technology Stack</w:t>
      </w:r>
    </w:p>
    <w:p>
      <w:pPr>
        <w:pBdr>
          <w:bottom w:val="single" w:color="0EA5E9" w:sz="6" w:space="1"/>
        </w:pBd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BFF Runtime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Node.js 22 LTS + Fastify 5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Low-latency I/O, mature ecosystem, native async/await, TypeScript-first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API Style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GraphQL (Mercurius) + REST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GraphQL for flexible client queries; REST for idempotent webhooks &amp; file ops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Kong (self-hosted) / AWS API GW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Plugin ecosystem: JWT auth, rate limiting, request logging, canary routing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WAF / CDN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Cloudflare WAF + AWS Shield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OWASP rule sets, DDoS mitigation, geo-blocking, bot detection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Service Mesh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Istio (on Kubernetes)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mTLS between pods, traffic policies, SPIFFE identity, observability sidecar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Container Platform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Kubernetes (EKS or GKE)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HPA for scale, Network Policies, OPA Gatekeeper for policy enforcement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Cache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Redis 7 Cluster (ElastiCache)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Sub-millisecond reads, sorted sets for rate limiting, pub/sub for invalidation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Message Bus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Apache Kafka (MSK)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Durable event log for payment events, audit trails, async notifications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Secrets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HashiCorp Vault + AWS KMS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Dynamic credentials, HSM-backed root key, automatic lease renewal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Identity Provider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Keycloak / Auth0 / Cognito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OIDC, PKCE, MFA, fine-grained roles, SCIM user provisioning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Databases (MS)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PostgreSQL 16 + pgAudit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ACID transactions, row-level security, column encryption for PII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OpenTelemetry + Grafana Stack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Vendor-neutral traces/metrics/logs; unified dashboards; alert manager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CI/CD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GitHub Actions + ArgoCD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GitOps workflow; SAST (Semgrep), DAST (OWASP ZAP), SBOM generation</w:t>
            </w:r>
          </w:p>
        </w:tc>
      </w:tr>
    </w:tbl>
    <w:p>
      <w:r>
        <w:br w:type="page"/>
      </w:r>
    </w:p>
    <w:p>
      <w:pPr>
        <w:spacing w:before="280" w:after="0"/>
      </w:pPr>
    </w:p>
    <w:p>
      <w:pPr>
        <w:spacing w:before="0" w:after="8"/>
      </w:pPr>
      <w:r>
        <w:rPr>
          <w:rFonts w:ascii="Calibri" w:cs="Calibri" w:eastAsia="Calibri" w:hAnsi="Calibri"/>
          <w:b/>
          <w:bCs/>
          <w:i w:val="false"/>
          <w:iCs w:val="false"/>
          <w:color w:val="E2E8F0"/>
          <w:sz w:val="56"/>
          <w:szCs w:val="56"/>
        </w:rPr>
        <w:t xml:space="preserve">04</w:t>
      </w:r>
      <w:r>
        <w:rPr>
          <w:rFonts w:ascii="Calibri" w:cs="Calibri" w:eastAsia="Calibri" w:hAnsi="Calibri"/>
          <w:b/>
          <w:bCs/>
          <w:i w:val="false"/>
          <w:iCs w:val="false"/>
          <w:color w:val="1E3A5F"/>
          <w:sz w:val="32"/>
          <w:szCs w:val="32"/>
        </w:rPr>
        <w:t xml:space="preserve">  Data Consistency, Integrity &amp; Security</w:t>
      </w:r>
    </w:p>
    <w:p>
      <w:pPr>
        <w:pBdr>
          <w:bottom w:val="single" w:color="0EA5E9" w:sz="6" w:space="1"/>
        </w:pBdr>
        <w:spacing w:before="0" w:after="120"/>
      </w:pP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0EA5E9"/>
          <w:sz w:val="26"/>
          <w:szCs w:val="26"/>
        </w:rPr>
        <w:t xml:space="preserve">4.1  PII Compliance Strategy</w:t>
      </w:r>
    </w:p>
    <w:p>
      <w:pPr>
        <w:spacing w:before="0"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All personally identifiable information is classified, tracked in a data inventory, and protected through the full data lifecycle.</w:t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Classification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Controls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Restricted (PII-R)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NRIC/Passport, bank account, card PAN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Encrypt at rest (AES-256-GCM), tokenise in transit, never log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Confidential (PII-C)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Full name, email, DOB, address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Encrypt at rest, mask in BFF response (customer portal), RBAC gated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Internal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Quote ID, premium amount, policy number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Encrypt at rest, access logging, no external exposure without auth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Product names, base rates, FAQs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 encryption required; CDN-cacheable</w:t>
            </w:r>
          </w:p>
        </w:tc>
      </w:tr>
    </w:tbl>
    <w:p>
      <w:pPr>
        <w:spacing w:before="80" w:after="0"/>
      </w:pP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PII Masking in the Customer BFF</w:t>
      </w:r>
    </w:p>
    <w:p>
      <w:pPr>
        <w:spacing w:before="0"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declarative field-level masking rule-set is applied at serialisation time before any response leaves the Customer BFF. Rules are stored in a configuration file versioned in Git and injected at pod startup via Vault.</w:t>
      </w:r>
    </w:p>
    <w:p>
      <w:pPr>
        <w:pBdr>
          <w:left w:val="single" w:color="059669" w:sz="12" w:space="120"/>
        </w:pBdr>
        <w:spacing w:before="120" w:after="120"/>
        <w:ind w:left="720" w:hanging="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Example: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NRIC field '****1234F'. Email 'a***@example.com'. Bank account last 4 digits only. Full values are NEVER present in Customer BFF logs or responses.</w:t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Data Minimisation</w:t>
      </w:r>
    </w:p>
    <w:p>
      <w:pPr>
        <w:spacing w:before="0"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GraphQL resolvers only request fields needed by the active query. gRPC calls to microservices use field masks (google.protobuf.FieldMask) to avoid over-fetching sensitive data that will never be returned to the client.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0EA5E9"/>
          <w:sz w:val="26"/>
          <w:szCs w:val="26"/>
        </w:rPr>
        <w:t xml:space="preserve">4.2  Encryption — At Rest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PostgreSQL databases use Transparent Data Encryption (TDE) via pgcrypto and column-level encryption for PII-R fields.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Encryption keys are stored in AWS KMS (Customer-Managed Keys, CMEK). Key rotation occurs every 90 days automatically.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Redis Cluster at-rest encryption enabled. Sensitive cached objects are additionally encrypted at the application layer before storage.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Kafka topics containing payment events and audit logs use envelope encryption: data encrypted with a data-encryption key (DEK) wrapped by a KMS master key.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Backups are encrypted with a separate backup key and stored in a separate AWS account with cross-account read-only access.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0EA5E9"/>
          <w:sz w:val="26"/>
          <w:szCs w:val="26"/>
        </w:rPr>
        <w:t xml:space="preserve">4.3  Encryption — In Transit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TLS 1.3 enforced end-to-end. TLS 1.2 permitted only for legacy payment gateway connectors with explicit exception approval.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Istio service mesh enforces mTLS (STRICT mode) for all pod-to-pod communication. Plain-text traffic is rejected by PeerAuthentication policy.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SPIFFE/SPIRE issues short-lived X.509 SVIDs (Service Verifiable Identity Documents) to each workload, eliminating long-lived service account keys.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External payment gateway connections use TLS 1.3 with certificate pinning (HPKP equivalent via Vault PKI) and a dedicated egress IP allowlisted with the gateway provider.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HTTP Strict Transport Security (HSTS) header with max-age=31536000 and includeSubDomains is set on all portal responses.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0EA5E9"/>
          <w:sz w:val="26"/>
          <w:szCs w:val="26"/>
        </w:rPr>
        <w:t xml:space="preserve">4.4  Payment Data Integrity &amp; PCI-DSS</w:t>
      </w:r>
    </w:p>
    <w:p>
      <w:pPr>
        <w:spacing w:before="0"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Payment Microservice is the only component authorised to process cardholder data. The BFF layer is intentionally out of PCI-DSS scope by design.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Card data tokenisation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BFF receives a payment token from the client (generated by gateway JS SDK in-browser). No raw PAN ever reaches the BFF or backend.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Idempotency keys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Every payment initiation call carries a UUID idempotency key stored in Redis (TTL 24h). Duplicate requests return the original response without re-charging.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HMAC signature verification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Payment gateway webhooks validated against HMAC-SHA256 signature. Replays rejected via timestamp window (5 minutes).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Saga / Outbox pattern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Quote confirmation and payment are coordinated via a transactional outbox table. The Payment MS writes to the outbox atomically, a Debezium CDC connector publishes to Kafka. Compensating transactions handle failures.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Financial ledger integrity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Append-only ledger table with row-level checksums and a reconciliation job that compares BFF audit logs against Payment MS ledger nightly.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Audit retention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Payment audit logs retained 7 years in immutable S3 storage (Object Lock) per financial regulation.</w:t>
            </w:r>
          </w:p>
        </w:tc>
      </w:tr>
    </w:tbl>
    <w:p>
      <w:pPr>
        <w:spacing w:before="80" w:after="0"/>
      </w:pPr>
    </w:p>
    <w:p>
      <w:pPr>
        <w:pBdr>
          <w:left w:val="single" w:color="D97706" w:sz="12" w:space="120"/>
        </w:pBdr>
        <w:spacing w:before="120" w:after="120"/>
        <w:ind w:left="720" w:hanging="0"/>
      </w:pPr>
      <w:r>
        <w:rPr>
          <w:rFonts w:ascii="Calibri" w:cs="Calibri" w:eastAsia="Calibri" w:hAnsi="Calibri"/>
          <w:b/>
          <w:bCs/>
          <w:color w:val="D97706"/>
          <w:sz w:val="20"/>
          <w:szCs w:val="20"/>
        </w:rPr>
        <w:t xml:space="preserve">Saga Pattern Note: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If payment succeeds but quote confirmation fails, a compensating Kafka consumer automatically triggers a refund via the Payment MS reversal endpoint within SLA (T+30s).</w:t>
      </w:r>
    </w:p>
    <w:p>
      <w:r>
        <w:br w:type="page"/>
      </w:r>
    </w:p>
    <w:p>
      <w:pPr>
        <w:spacing w:before="280" w:after="0"/>
      </w:pPr>
    </w:p>
    <w:p>
      <w:pPr>
        <w:spacing w:before="0" w:after="8"/>
      </w:pPr>
      <w:r>
        <w:rPr>
          <w:rFonts w:ascii="Calibri" w:cs="Calibri" w:eastAsia="Calibri" w:hAnsi="Calibri"/>
          <w:b/>
          <w:bCs/>
          <w:i w:val="false"/>
          <w:iCs w:val="false"/>
          <w:color w:val="E2E8F0"/>
          <w:sz w:val="56"/>
          <w:szCs w:val="56"/>
        </w:rPr>
        <w:t xml:space="preserve">05</w:t>
      </w:r>
      <w:r>
        <w:rPr>
          <w:rFonts w:ascii="Calibri" w:cs="Calibri" w:eastAsia="Calibri" w:hAnsi="Calibri"/>
          <w:b/>
          <w:bCs/>
          <w:i w:val="false"/>
          <w:iCs w:val="false"/>
          <w:color w:val="1E3A5F"/>
          <w:sz w:val="32"/>
          <w:szCs w:val="32"/>
        </w:rPr>
        <w:t xml:space="preserve">  Authentication &amp; Authorisation</w:t>
      </w:r>
    </w:p>
    <w:p>
      <w:pPr>
        <w:pBdr>
          <w:bottom w:val="single" w:color="0EA5E9" w:sz="6" w:space="1"/>
        </w:pBdr>
        <w:spacing w:before="0" w:after="120"/>
      </w:pP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0EA5E9"/>
          <w:sz w:val="26"/>
          <w:szCs w:val="26"/>
        </w:rPr>
        <w:t xml:space="preserve">5.1  Authentication Flows</w:t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Customer Portal (Public Users)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OIDC Authorization Code Flow with PKCE — eliminates client_secret exposure in SPA.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MFA enforced at IdP (TOTP / WebAuthn) for sensitive operations (payment, policy download).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Access tokens (JWT, RS256, 15-min TTL) + Refresh tokens (HTTPOnly Secure cookie, 7-day TTL, rotation on use).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Silent token refresh via iframe / service worker before expiry. BFF validates token signature on every request using cached JWKS.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Session stored server-side in Redis with a session ID cookie. Absolute timeout 8 hours, idle timeout 30 minutes.</w:t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Agent Portal (Internal / Broker Users)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OIDC Authorization Code Flow with PKCE from corporate IdP (Okta / Azure AD) federated via Keycloak.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Hardware security key (FIDO2) or Okta Verify MFA mandatory.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Short-lived access tokens (5-min TTL) with opaque refresh tokens stored server-side only.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Service-to-service calls use OAuth 2.0 Client Credentials flow with scoped service accounts.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0EA5E9"/>
          <w:sz w:val="26"/>
          <w:szCs w:val="26"/>
        </w:rPr>
        <w:t xml:space="preserve">5.2  Authorisation — RBAC Model</w:t>
      </w:r>
    </w:p>
    <w:p>
      <w:pPr>
        <w:spacing w:before="0"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Permissions are encoded as custom JWT claims and validated by the BFF before proxying any downstream call.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Portal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Permissions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customer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Customer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quote:read, quote:create, payment:initiate, policy:read:own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agent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Agent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quote:read:all, quote:override, payment:view, customer:read:pii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senior_agent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Agent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All agent permissions + quote:approve, payment:refund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Agent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audit:read, report:export — read-only, no transactional access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Agent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Full access including configuration changes — break-glass only</w:t>
            </w:r>
          </w:p>
        </w:tc>
      </w:tr>
    </w:tbl>
    <w:p>
      <w:pPr>
        <w:spacing w:before="80" w:after="0"/>
      </w:pPr>
    </w:p>
    <w:p>
      <w:pPr>
        <w:pBdr>
          <w:left w:val="single" w:color="7C3AED" w:sz="12" w:space="120"/>
        </w:pBdr>
        <w:spacing w:before="120" w:after="120"/>
        <w:ind w:left="720" w:hanging="0"/>
      </w:pPr>
      <w:r>
        <w:rPr>
          <w:rFonts w:ascii="Calibri" w:cs="Calibri" w:eastAsia="Calibri" w:hAnsi="Calibri"/>
          <w:b/>
          <w:bCs/>
          <w:color w:val="7C3AED"/>
          <w:sz w:val="20"/>
          <w:szCs w:val="20"/>
        </w:rPr>
        <w:t xml:space="preserve">Zero Trust Principle: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Every request is authenticated and authorised independently. The BFF never trusts claims from downstream services. Permissions are enforced at the BFF before forwarding gRPC calls.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0EA5E9"/>
          <w:sz w:val="26"/>
          <w:szCs w:val="26"/>
        </w:rPr>
        <w:t xml:space="preserve">5.3  Additional Security Controls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Content Security Policy (CSP), X-Frame-Options, X-Content-Type-Options, Referrer-Policy headers set on all BFF responses.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OWASP API Security Top 10 mitigations applied: Mass Assignment protection (allowlisted input fields), Broken Object Level Authorisation checks on every resource ID, Excessive Data Exposure prevented by response field filtering.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GraphQL depth limiting (max 7 levels), complexity limiting (max 1000 points), introspection disabled in production.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Secrets never in environment variables or Docker images — injected at runtime via Vault Agent sidecar.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Dependency scanning (Dependabot + Snyk) in CI; images scanned with Trivy before promotion to production registry.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Regular penetration testing (quarterly external, monthly internal DAST via OWASP ZAP in CI pipeline).</w:t>
      </w:r>
    </w:p>
    <w:p>
      <w:r>
        <w:br w:type="page"/>
      </w:r>
    </w:p>
    <w:p>
      <w:pPr>
        <w:spacing w:before="280" w:after="0"/>
      </w:pPr>
    </w:p>
    <w:p>
      <w:pPr>
        <w:spacing w:before="0" w:after="8"/>
      </w:pPr>
      <w:r>
        <w:rPr>
          <w:rFonts w:ascii="Calibri" w:cs="Calibri" w:eastAsia="Calibri" w:hAnsi="Calibri"/>
          <w:b/>
          <w:bCs/>
          <w:i w:val="false"/>
          <w:iCs w:val="false"/>
          <w:color w:val="E2E8F0"/>
          <w:sz w:val="56"/>
          <w:szCs w:val="56"/>
        </w:rPr>
        <w:t xml:space="preserve">06</w:t>
      </w:r>
      <w:r>
        <w:rPr>
          <w:rFonts w:ascii="Calibri" w:cs="Calibri" w:eastAsia="Calibri" w:hAnsi="Calibri"/>
          <w:b/>
          <w:bCs/>
          <w:i w:val="false"/>
          <w:iCs w:val="false"/>
          <w:color w:val="1E3A5F"/>
          <w:sz w:val="32"/>
          <w:szCs w:val="32"/>
        </w:rPr>
        <w:t xml:space="preserve">  Observability Strategy</w:t>
      </w:r>
    </w:p>
    <w:p>
      <w:pPr>
        <w:pBdr>
          <w:bottom w:val="single" w:color="0EA5E9" w:sz="6" w:space="1"/>
        </w:pBdr>
        <w:spacing w:before="0" w:after="120"/>
      </w:pPr>
    </w:p>
    <w:p>
      <w:pPr>
        <w:spacing w:before="0"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observability strategy follows the Three Pillars model (Metrics, Logs, Traces) unified under OpenTelemetry (OTel), with an additional fourth pillar of synthetic probing for proactive detection.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0EA5E9"/>
          <w:sz w:val="26"/>
          <w:szCs w:val="26"/>
        </w:rPr>
        <w:t xml:space="preserve">6.1  Distributed Tracing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OpenTelemetry SDK auto-instruments Fastify HTTP layer, gRPC client stubs, Redis client, and Kafka producer/consumer.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Every inbound request generates a trace with a globally unique trace ID propagated in W3C TraceContext headers across all services.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Spans capture: HTTP method, route, status code, downstream service name, gRPC status, cache hit/miss, latency, and error details.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Payment-related spans are tagged with payment.idempotency_key and quote.id — enabling end-to-end trace correlation for a complete transaction.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Traces exported to Tempo (Grafana) and cross-linked from dashboards and alert runbooks.</w:t>
      </w:r>
    </w:p>
    <w:p>
      <w:pPr>
        <w:pBdr>
          <w:left w:val="single" w:color="059669" w:sz="12" w:space="120"/>
        </w:pBdr>
        <w:spacing w:before="120" w:after="120"/>
        <w:ind w:left="720" w:hanging="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Sampling Strategy: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Head-based 100% sampling for error traces and payment flows. Adaptive tail-based sampling (10%) for healthy traffic. Configurable per-route via feature flag.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0EA5E9"/>
          <w:sz w:val="26"/>
          <w:szCs w:val="26"/>
        </w:rPr>
        <w:t xml:space="preserve">6.2  Metrics</w:t>
      </w:r>
    </w:p>
    <w:p>
      <w:pPr>
        <w:spacing w:before="0"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Prometheus metrics exposed on /metrics endpoint scraped by the Prometheus Operator. Key metric families: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360"/>
      </w:tblGrid>
      <w:tr>
        <w:trPr>
          <w:tblHeader/>
        </w:trP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bff_http_request_duration_seconds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Histogram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p99 &gt; 800ms → Warning; p99 &gt; 2s → Critical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bff_grpc_call_duration_seconds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Histogram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p99 &gt; 500ms → Warning per downstream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bff_circuit_breaker_state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Gauge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State = OPEN → PagerDuty alert immediately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bff_cache_hit_ratio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Gauge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&lt; 0.6 for 5 min → Warning (potential cache stampede)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bff_payment_initiation_total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Counter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Rate drop &gt; 30% vs 7-day baseline → Anomaly alert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bff_auth_failure_total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Counter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Spike &gt; 5x baseline in 1 min → Security alert + SIEM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bff_pii_mask_applied_total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Counter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Sudden drop → Masking bypass alert (critical security)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bff_quote_aggregation_errors_total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Counter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Any value &gt; 0 for 1 min → Warning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0EA5E9"/>
          <w:sz w:val="26"/>
          <w:szCs w:val="26"/>
        </w:rPr>
        <w:t xml:space="preserve">6.3  Structured Logging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All log output is JSON-structured (pino logger) with mandatory fields: trace_id, span_id, service, level, timestamp (ISO 8601 UTC), user_id (hashed), portal, request_id.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PII fields are NEVER written to logs. A pino serialiser strips any field matching a PII allowlist before output.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Logs shipped to Loki via Promtail. Retention: 90 days hot, 1 year cold (S3 Glacier for compliance).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Audit logs — a separate high-integrity stream published to Kafka topic bff.audit and consumed by the immutable audit log service (Splunk / AWS CloudTrail Lake).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Audit log schema captures: who (user_id, role), what (action, resource_id), when (timestamp), where (IP, portal), result (success/failure), and context (quote_id, payment_reference).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0EA5E9"/>
          <w:sz w:val="26"/>
          <w:szCs w:val="26"/>
        </w:rPr>
        <w:t xml:space="preserve">6.4  Dashboards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Panels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BFF Golden Signals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Request rate, error rate, latency p50/p95/p99, saturation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Quote Journey Funnel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Product / Engineering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Quote created → Reviewed → Accepted → Payment → Confirmed conversion rates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Payment Health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Engineering / Finance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Payment initiation rate, gateway error rate, refund rate, idempotency hits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Security Overview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Security / Engineering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Auth failures, WAF blocks, circuit breaker states, anomaly scores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SLA Compliance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Management / SRE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Uptime %, p99 latency vs SLA targets, incident timeline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0EA5E9"/>
          <w:sz w:val="26"/>
          <w:szCs w:val="26"/>
        </w:rPr>
        <w:t xml:space="preserve">6.5  Alerting &amp; Incident Response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Alerts defined as code (Prometheus Alerting Rules in Helm chart, reviewed in PRs).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Severity tiers: P1 (payment down, circuit breaker open) → PagerDuty on-call immediately. P2 (high error rate, cache miss storm) → Slack #alerts + on-call. P3 (latency degradation) → Slack only, 30-min auto-resolve window.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Runbooks linked directly in alert annotations (runbook_url label). Runbooks stored in docs/runbooks/.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Synthetic probes (Grafana k6 cloud) run every 60 seconds against staging and production BFF endpoints, validating authentication, quote retrieval, and payment initiation flows end-to-end.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SLO targets: 99.9% availability (Customer BFF), 99.95% (Agent BFF — higher availability for broker workflows). Error budget burn rate dashboards visible to all engineers.</w:t>
      </w:r>
    </w:p>
    <w:p>
      <w:r>
        <w:br w:type="page"/>
      </w:r>
    </w:p>
    <w:p>
      <w:pPr>
        <w:spacing w:before="280" w:after="0"/>
      </w:pPr>
    </w:p>
    <w:p>
      <w:pPr>
        <w:spacing w:before="0" w:after="8"/>
      </w:pPr>
      <w:r>
        <w:rPr>
          <w:rFonts w:ascii="Calibri" w:cs="Calibri" w:eastAsia="Calibri" w:hAnsi="Calibri"/>
          <w:b/>
          <w:bCs/>
          <w:i w:val="false"/>
          <w:iCs w:val="false"/>
          <w:color w:val="E2E8F0"/>
          <w:sz w:val="56"/>
          <w:szCs w:val="56"/>
        </w:rPr>
        <w:t xml:space="preserve">07</w:t>
      </w:r>
      <w:r>
        <w:rPr>
          <w:rFonts w:ascii="Calibri" w:cs="Calibri" w:eastAsia="Calibri" w:hAnsi="Calibri"/>
          <w:b/>
          <w:bCs/>
          <w:i w:val="false"/>
          <w:iCs w:val="false"/>
          <w:color w:val="1E3A5F"/>
          <w:sz w:val="32"/>
          <w:szCs w:val="32"/>
        </w:rPr>
        <w:t xml:space="preserve">  Deployment Architecture</w:t>
      </w:r>
    </w:p>
    <w:p>
      <w:pPr>
        <w:pBdr>
          <w:bottom w:val="single" w:color="0EA5E9" w:sz="6" w:space="1"/>
        </w:pBdr>
        <w:spacing w:before="0" w:after="120"/>
      </w:pP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0EA5E9"/>
          <w:sz w:val="26"/>
          <w:szCs w:val="26"/>
        </w:rPr>
        <w:t xml:space="preserve">7.1  Kubernetes Topology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BFFs deployed as Kubernetes Deployments in dedicated namespaces (ns-customer-bff, ns-agent-bff).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Horizontal Pod Autoscaler (HPA) configured on CPU (70%) and custom metric bff_active_requests (target: 500). Min 3 replicas, max 20.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Pod Disruption Budget (PDB) ensures at least 2 replicas available during node drain / rolling update.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Network Policies restrict ingress to the BFF namespace to the API Gateway only. Egress limited to microservice namespace, Redis, Kafka, and Vault endpoints.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OPA Gatekeeper policies enforce: no privileged containers, read-only root filesystem, non-root user, resource limits mandatory.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0EA5E9"/>
          <w:sz w:val="26"/>
          <w:szCs w:val="26"/>
        </w:rPr>
        <w:t xml:space="preserve">7.2  Deployment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GitHub (protected main branch)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 review (2 approvals), Conventional Commits, CODEOWNERS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Build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Unit tests (&gt;85% coverage), TypeScript compile, ESLint, SBOM generation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SAST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Semgrep + CodeQL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Zero high/critical findings. Secrets scan (Trufflehog). Block on failure.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Container Build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Docker Buildx (multi-arch)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Distroless base image, non-root user, Trivy image scan (zero CRITICAL CVEs)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Registry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AWS ECR with Immutable Tags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Image signing via Cosign (Sigstore). Admission controller verifies signature.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Staging Deploy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ArgoCD (GitOps)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Automated. Integration tests + DAST (OWASP ZAP). Load test (k6 smoke).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Canary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Argo Rollouts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5% → 25% → 50% → 100% traffic shift. Auto-rollback on error rate &gt; 1%.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ArgoCD (GitOps)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Manual approval gate for P0 changes. Automated for patches.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0EA5E9"/>
          <w:sz w:val="26"/>
          <w:szCs w:val="26"/>
        </w:rPr>
        <w:t xml:space="preserve">7.3  Multi-Region &amp; Disaster Recovery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Active-active deployment in two AWS regions (primary: ap-southeast-1, DR: ap-east-1). Route 53 health-check-based failover.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Redis replication across regions using ElastiCache Global Datastore (eventual consistency, &lt;500ms replication lag acceptable for cache).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Kafka MirrorMaker 2 replicates audit and payment event topics cross-region for DR. RPO &lt; 30 seconds for critical topics.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RTO target: &lt; 5 minutes (automated failover). RPO target: &lt; 30 seconds for transactional data.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Chaos Engineering (Chaos Monkey / AWS Fault Injection Simulator) exercises run quarterly in production to validate DR assumptions.</w:t>
      </w:r>
    </w:p>
    <w:p>
      <w:r>
        <w:br w:type="page"/>
      </w:r>
    </w:p>
    <w:p>
      <w:pPr>
        <w:spacing w:before="280" w:after="0"/>
      </w:pPr>
    </w:p>
    <w:p>
      <w:pPr>
        <w:spacing w:before="0" w:after="8"/>
      </w:pPr>
      <w:r>
        <w:rPr>
          <w:rFonts w:ascii="Calibri" w:cs="Calibri" w:eastAsia="Calibri" w:hAnsi="Calibri"/>
          <w:b/>
          <w:bCs/>
          <w:i w:val="false"/>
          <w:iCs w:val="false"/>
          <w:color w:val="E2E8F0"/>
          <w:sz w:val="56"/>
          <w:szCs w:val="56"/>
        </w:rPr>
        <w:t xml:space="preserve">08</w:t>
      </w:r>
      <w:r>
        <w:rPr>
          <w:rFonts w:ascii="Calibri" w:cs="Calibri" w:eastAsia="Calibri" w:hAnsi="Calibri"/>
          <w:b/>
          <w:bCs/>
          <w:i w:val="false"/>
          <w:iCs w:val="false"/>
          <w:color w:val="1E3A5F"/>
          <w:sz w:val="32"/>
          <w:szCs w:val="32"/>
        </w:rPr>
        <w:t xml:space="preserve">  Risks &amp; Mitigations</w:t>
      </w:r>
    </w:p>
    <w:p>
      <w:pPr>
        <w:pBdr>
          <w:bottom w:val="single" w:color="0EA5E9" w:sz="6" w:space="1"/>
        </w:pBd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BFF becomes a bottleneck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HPA + stateless design; circuit breakers prevent cascade; Redis offloads reads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PII data leak via logs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Critical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Pino serialiser blocklist; log scanning in CI; SIEM alert on PII patterns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Payment replay attack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Critical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Idempotency keys (Redis TTL 24h); HMAC timestamp validation; rate limiting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Downstream microservice outage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Circuit breakers; graceful degradation (cached quotes); Kafka async decoupling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JWT token theft / session hijacking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HTTPOnly cookies; short token TTL; IP binding for agent sessions; anomaly detection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Supply chain attack (dependencies)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Snyk + Dependabot; SBOM generation; Cosign image signing; air-gapped registry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Key management failure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Critical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Vault HA (3 nodes); AWS KMS with automatic failover; annual key recovery drill</w:t>
            </w:r>
          </w:p>
        </w:tc>
      </w:tr>
    </w:tbl>
    <w:p>
      <w:pPr>
        <w:spacing w:before="80" w:after="0"/>
      </w:pPr>
    </w:p>
    <w:p>
      <w:pPr>
        <w:spacing w:before="280" w:after="0"/>
      </w:pPr>
    </w:p>
    <w:p>
      <w:pPr>
        <w:spacing w:before="0" w:after="8"/>
      </w:pPr>
      <w:r>
        <w:rPr>
          <w:rFonts w:ascii="Calibri" w:cs="Calibri" w:eastAsia="Calibri" w:hAnsi="Calibri"/>
          <w:b/>
          <w:bCs/>
          <w:i w:val="false"/>
          <w:iCs w:val="false"/>
          <w:color w:val="E2E8F0"/>
          <w:sz w:val="56"/>
          <w:szCs w:val="56"/>
        </w:rPr>
        <w:t xml:space="preserve">09</w:t>
      </w:r>
      <w:r>
        <w:rPr>
          <w:rFonts w:ascii="Calibri" w:cs="Calibri" w:eastAsia="Calibri" w:hAnsi="Calibri"/>
          <w:b/>
          <w:bCs/>
          <w:i w:val="false"/>
          <w:iCs w:val="false"/>
          <w:color w:val="1E3A5F"/>
          <w:sz w:val="32"/>
          <w:szCs w:val="32"/>
        </w:rPr>
        <w:t xml:space="preserve">  Appendix — Key Design Decisions</w:t>
      </w:r>
    </w:p>
    <w:p>
      <w:pPr>
        <w:pBdr>
          <w:bottom w:val="single" w:color="0EA5E9" w:sz="6" w:space="1"/>
        </w:pBd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Options Considered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Decision Made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BFF API style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REST only, GraphQL only, REST+GraphQL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GraphQL primary + REST for webhooks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GraphQL enables field-level querying; reduces over-fetching on mobile; REST for idempotent webhook handling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BFF Runtime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Go, Java/Spring, Node.js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Node.js + Fastify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I/O-bound workload suits Node; Fastify fastest in class; TypeScript type safety; shared skill set with front-end teams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Inter-service protocol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REST/JSON, gRPC, GraphQL Federation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gRPC (protobuf)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Strongly typed contracts; ~5x smaller payload vs JSON; native streaming; HTTP/2 multiplexing; easier schema evolution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Cache strategy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 cache, CDN only, Redis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Redis with cache-aside + TTL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Sub-millisecond latency; supports rate-limit counters and session store in same cluster; per-portal namespace isolation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PII scope boundary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Mask in microservice, mask in BFF, mask in gateway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Mask in BFF layer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Microservices remain PII-aware for internal audit; BFF is the policy enforcement point closest to the client; avoids duplicating masking logic in each microservice</w:t>
            </w:r>
          </w:p>
        </w:tc>
      </w:tr>
    </w:tbl>
    <w:p>
      <w:pPr>
        <w:spacing w:before="160" w:after="0"/>
      </w:pPr>
    </w:p>
    <w:p>
      <w:pPr>
        <w:pBdr>
          <w:bottom w:val="single" w:color="0EA5E9" w:sz="4" w:space="1"/>
        </w:pBdr>
        <w:spacing w:before="0" w:after="120"/>
      </w:pPr>
    </w:p>
    <w:p>
      <w:pPr>
        <w:spacing w:before="80" w:after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END OF DOCUMENT  —  Confidential &amp; Internal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Calibri" w:cs="Calibri" w:eastAsia="Calibri" w:hAnsi="Calibri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Calibri" w:cs="Calibri" w:eastAsia="Calibri" w:hAnsi="Calibri"/>
      <w:b/>
      <w:bCs/>
      <w:color w:val="0EA5E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Calibri" w:cs="Calibri" w:eastAsia="Calibri" w:hAnsi="Calibri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2026-03-08T10:48:18.906Z</dcterms:created>
  <dcterms:modified xsi:type="dcterms:W3CDTF">2026-03-08T10:48:18.906Z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