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Compliance Guidelines CG-2025</w:t>
      </w:r>
    </w:p>
    <w:p>
      <w:r>
        <w:t>COMPLIANCE GUIDELINES CG-2025</w:t>
        <w:br/>
        <w:t>Document ID: CG-2025</w:t>
        <w:br/>
        <w:t>Version: 2.0</w:t>
        <w:br/>
        <w:t>Owner: Compliance</w:t>
        <w:br/>
        <w:t>Effective: 1 April 2025</w:t>
      </w:r>
    </w:p>
    <w:p>
      <w:pPr>
        <w:pStyle w:val="Heading2"/>
      </w:pPr>
      <w:r>
        <w:t>1. REQUIREMENT TRACEABILITY</w:t>
      </w:r>
    </w:p>
    <w:p>
      <w:r>
        <w:t>Every operational requirement must be supported by a named policy or regulation.</w:t>
        <w:br/>
        <w:t>The current employee attendance requirement is defined by the latest Employee Policy.</w:t>
      </w:r>
    </w:p>
    <w:p>
      <w:pPr>
        <w:pStyle w:val="Heading2"/>
      </w:pPr>
      <w:r>
        <w:t>2. DOCUMENT HIERARCHY</w:t>
      </w:r>
    </w:p>
    <w:p>
      <w:r>
        <w:t>Security Regulation SR-2024 prevails over internal manuals when access-control requirements conflict.</w:t>
        <w:br/>
        <w:t>Employee Policy 2026 supersedes Employee Policy 2025.</w:t>
      </w:r>
    </w:p>
    <w:p>
      <w:pPr>
        <w:pStyle w:val="Heading2"/>
      </w:pPr>
      <w:r>
        <w:t>3. EVIDENCE STANDARD</w:t>
      </w:r>
    </w:p>
    <w:p>
      <w:r>
        <w:t>Compliance reviews must cite document name, version, section, and excerpt. Unsupported claims are not acceptable.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Compliance Guidelines CG-2025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