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8"/>
          <w:szCs w:val="48"/>
        </w:rPr>
        <w:t xml:space="preserve">TwinGuard</w:t>
      </w:r>
    </w:p>
    <w:p>
      <w:pPr>
        <w:spacing w:after="80"/>
        <w:jc w:val="center"/>
      </w:pPr>
      <w:r>
        <w:rPr>
          <w:rFonts w:ascii="Calibri" w:cs="Calibri" w:eastAsia="Calibri" w:hAnsi="Calibri"/>
          <w:b/>
          <w:bCs/>
          <w:sz w:val="26"/>
          <w:szCs w:val="26"/>
        </w:rPr>
        <w:t xml:space="preserve">An Agentic AI-Driven, Self-Validating Digital Twin for Cybersecurity and Reliability Assurance of Modular Unmanned Aerial Systems</w:t>
      </w:r>
    </w:p>
    <w:p>
      <w:pPr>
        <w:pBdr>
          <w:bottom w:val="single" w:color="1F3864" w:sz="8" w:space="6"/>
        </w:pBdr>
        <w:spacing w:after="200"/>
        <w:jc w:val="center"/>
      </w:pPr>
      <w:r>
        <w:rPr>
          <w:rFonts w:ascii="Calibri" w:cs="Calibri" w:eastAsia="Calibri" w:hAnsi="Calibri"/>
          <w:i/>
          <w:iCs/>
          <w:color w:val="595959"/>
          <w:sz w:val="21"/>
          <w:szCs w:val="21"/>
        </w:rPr>
        <w:t xml:space="preserve">Industry–Academia Conclave: problem statement, existing solutions, innovation and plan</w:t>
      </w:r>
    </w:p>
    <w:p>
      <w:pPr>
        <w:pStyle w:val="Heading1"/>
      </w:pPr>
      <w:r>
        <w:rPr>
          <w:rFonts w:ascii="Calibri" w:cs="Calibri" w:eastAsia="Calibri" w:hAnsi="Calibri"/>
        </w:rPr>
        <w:t xml:space="preserve">1. Project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title</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TwinGuard: An Agentic AI-Driven, Self-Validating Digital Twin for Cybersecurity and Reliability Assurance of Modular Unmanned Aerial Systems</w:t>
            </w:r>
          </w:p>
        </w:tc>
      </w:tr>
      <w:tr>
        <w:trPr>
          <w:cantSplit/>
        </w:trPr>
        <w:tc>
          <w:tcPr>
            <w:tcW w:type="dxa" w:w="20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Domain</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Defence Technology | Agentic AI | Digital Twin | Cybersecurity | IoT and Embedded Systems | Cloud Computing (optional deployment)</w:t>
            </w:r>
          </w:p>
        </w:tc>
      </w:tr>
      <w:tr>
        <w:trPr>
          <w:cantSplit/>
        </w:trPr>
        <w:tc>
          <w:tcPr>
            <w:tcW w:type="dxa" w:w="20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Prototype</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 simulated UAS engineering platform connected to a physical ESP32 sensor test bench, with virtual component compatibility verification, cyber-physical incident investigation and evidence-backed reliability analysis.</w:t>
            </w:r>
          </w:p>
        </w:tc>
      </w:tr>
      <w:tr>
        <w:trPr>
          <w:cantSplit/>
        </w:trPr>
        <w:tc>
          <w:tcPr>
            <w:tcW w:type="dxa" w:w="20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Scope</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Non-weapon components and controlled engineering scenarios only. All safety-critical decisions and physical modifications remain subject to authorised human approval.</w:t>
            </w:r>
          </w:p>
        </w:tc>
      </w:tr>
    </w:tbl>
    <w:p>
      <w:pPr>
        <w:spacing w:after="80"/>
      </w:pPr>
    </w:p>
    <w:p>
      <w:pPr>
        <w:pStyle w:val="Heading1"/>
      </w:pPr>
      <w:r>
        <w:rPr>
          <w:rFonts w:ascii="Calibri" w:cs="Calibri" w:eastAsia="Calibri" w:hAnsi="Calibri"/>
        </w:rPr>
        <w:t xml:space="preserve">2. Problem Statement</w:t>
      </w:r>
    </w:p>
    <w:p>
      <w:pPr>
        <w:pStyle w:val="Heading2"/>
      </w:pPr>
      <w:r>
        <w:rPr>
          <w:rFonts w:ascii="Calibri" w:cs="Calibri" w:eastAsia="Calibri" w:hAnsi="Calibri"/>
        </w:rPr>
        <w:t xml:space="preserve">2.1 Background</w:t>
      </w:r>
    </w:p>
    <w:p>
      <w:pPr>
        <w:spacing w:after="120" w:line="276"/>
      </w:pPr>
      <w:r>
        <w:rPr>
          <w:rFonts w:ascii="Calibri" w:cs="Calibri" w:eastAsia="Calibri" w:hAnsi="Calibri"/>
          <w:b w:val="false"/>
          <w:bCs w:val="false"/>
        </w:rPr>
        <w:t xml:space="preserve">Modern Unmanned Aerial Systems (UAS) are built from interconnected hardware, software, communication and sensor components. As platforms become modular and software-defined, components from different sources are combined, swapped and reconfigured, and every combination must be shown to be compatible, reliable and secure during development and testing.</w:t>
      </w:r>
    </w:p>
    <w:p>
      <w:pPr>
        <w:pStyle w:val="Heading2"/>
      </w:pPr>
      <w:r>
        <w:rPr>
          <w:rFonts w:ascii="Calibri" w:cs="Calibri" w:eastAsia="Calibri" w:hAnsi="Calibri"/>
        </w:rPr>
        <w:t xml:space="preserve">2.2 The problem</w:t>
      </w:r>
    </w:p>
    <w:p>
      <w:pPr>
        <w:spacing w:after="120" w:line="276"/>
      </w:pPr>
      <w:r>
        <w:rPr>
          <w:rFonts w:ascii="Calibri" w:cs="Calibri" w:eastAsia="Calibri" w:hAnsi="Calibri"/>
          <w:b w:val="false"/>
          <w:bCs w:val="false"/>
        </w:rPr>
        <w:t xml:space="preserve">During the development and testing of a complex modular UAS, engineers need answers to questions that no single tool answers together:</w:t>
      </w:r>
    </w:p>
    <w:p>
      <w:pPr>
        <w:pStyle w:val="ListParagraph"/>
        <w:numPr>
          <w:ilvl w:val="0"/>
          <w:numId w:val="2"/>
        </w:numPr>
        <w:spacing w:after="60" w:line="276"/>
      </w:pPr>
      <w:r>
        <w:rPr>
          <w:rFonts w:ascii="Calibri" w:cs="Calibri" w:eastAsia="Calibri" w:hAnsi="Calibri"/>
          <w:b w:val="false"/>
          <w:bCs w:val="false"/>
        </w:rPr>
        <w:t xml:space="preserve">Is the system behaving as expected?</w:t>
      </w:r>
    </w:p>
    <w:p>
      <w:pPr>
        <w:pStyle w:val="ListParagraph"/>
        <w:numPr>
          <w:ilvl w:val="0"/>
          <w:numId w:val="2"/>
        </w:numPr>
        <w:spacing w:after="60" w:line="276"/>
      </w:pPr>
      <w:r>
        <w:rPr>
          <w:rFonts w:ascii="Calibri" w:cs="Calibri" w:eastAsia="Calibri" w:hAnsi="Calibri"/>
          <w:b w:val="false"/>
          <w:bCs w:val="false"/>
        </w:rPr>
        <w:t xml:space="preserve">Is a component failure causing other components to behave abnormally?</w:t>
      </w:r>
    </w:p>
    <w:p>
      <w:pPr>
        <w:pStyle w:val="ListParagraph"/>
        <w:numPr>
          <w:ilvl w:val="0"/>
          <w:numId w:val="2"/>
        </w:numPr>
        <w:spacing w:after="60" w:line="276"/>
      </w:pPr>
      <w:r>
        <w:rPr>
          <w:rFonts w:ascii="Calibri" w:cs="Calibri" w:eastAsia="Calibri" w:hAnsi="Calibri"/>
          <w:b w:val="false"/>
          <w:bCs w:val="false"/>
        </w:rPr>
        <w:t xml:space="preserve">Is an unexpected change a hardware fault, a sensor issue, a configuration or compatibility problem, or a possible cyber incident?</w:t>
      </w:r>
    </w:p>
    <w:p>
      <w:pPr>
        <w:pStyle w:val="ListParagraph"/>
        <w:numPr>
          <w:ilvl w:val="0"/>
          <w:numId w:val="2"/>
        </w:numPr>
        <w:spacing w:after="60" w:line="276"/>
      </w:pPr>
      <w:r>
        <w:rPr>
          <w:rFonts w:ascii="Calibri" w:cs="Calibri" w:eastAsia="Calibri" w:hAnsi="Calibri"/>
          <w:b w:val="false"/>
          <w:bCs w:val="false"/>
        </w:rPr>
        <w:t xml:space="preserve">Is the virtual model still accurate enough to trust?</w:t>
      </w:r>
    </w:p>
    <w:p>
      <w:pPr>
        <w:pStyle w:val="ListParagraph"/>
        <w:numPr>
          <w:ilvl w:val="0"/>
          <w:numId w:val="2"/>
        </w:numPr>
        <w:spacing w:after="60" w:line="276"/>
      </w:pPr>
      <w:r>
        <w:rPr>
          <w:rFonts w:ascii="Calibri" w:cs="Calibri" w:eastAsia="Calibri" w:hAnsi="Calibri"/>
          <w:b w:val="false"/>
          <w:bCs w:val="false"/>
        </w:rPr>
        <w:t xml:space="preserve">Can the team reproduce the incident and verify a proposed corrective measure?</w:t>
      </w:r>
    </w:p>
    <w:p>
      <w:pPr>
        <w:pStyle w:val="ListParagraph"/>
        <w:numPr>
          <w:ilvl w:val="0"/>
          <w:numId w:val="2"/>
        </w:numPr>
        <w:spacing w:after="60" w:line="276"/>
      </w:pPr>
      <w:r>
        <w:rPr>
          <w:rFonts w:ascii="Calibri" w:cs="Calibri" w:eastAsia="Calibri" w:hAnsi="Calibri"/>
          <w:b w:val="false"/>
          <w:bCs w:val="false"/>
        </w:rPr>
        <w:t xml:space="preserve">Can the team establish exactly what happened, which evidence supports the conclusion, and who approved the response?</w:t>
      </w:r>
    </w:p>
    <w:p>
      <w:pPr>
        <w:pStyle w:val="Heading2"/>
      </w:pPr>
      <w:r>
        <w:rPr>
          <w:rFonts w:ascii="Calibri" w:cs="Calibri" w:eastAsia="Calibri" w:hAnsi="Calibri"/>
        </w:rPr>
        <w:t xml:space="preserve">2.3 The gap: fragmented system assurance</w:t>
      </w:r>
    </w:p>
    <w:p>
      <w:pPr>
        <w:spacing w:after="120" w:line="276"/>
      </w:pPr>
      <w:r>
        <w:rPr>
          <w:rFonts w:ascii="Calibri" w:cs="Calibri" w:eastAsia="Calibri" w:hAnsi="Calibri"/>
          <w:b w:val="false"/>
          <w:bCs w:val="false"/>
        </w:rPr>
        <w:t xml:space="preserve">Digital twins, anomaly detection, log replay, interoperability checking and AI-assisted diagnosis each already exist (Section 4). The problem is that component health, cybersecurity evidence, digital-twin accuracy, compatibility constraints and investigation records usually sit in separate tools, so an engineering conclusion is hard to trace, reproduce or trust. TwinGuard does not claim that these capabilities are missing individually. It addresses the missing integration.</w:t>
      </w:r>
    </w:p>
    <w:p>
      <w:pPr>
        <w:pStyle w:val="Heading2"/>
      </w:pPr>
      <w:r>
        <w:rPr>
          <w:rFonts w:ascii="Calibri" w:cs="Calibri" w:eastAsia="Calibri" w:hAnsi="Calibri"/>
        </w:rPr>
        <w:t xml:space="preserve">2.4 Relevance to the Indian Army challenge</w:t>
      </w:r>
    </w:p>
    <w:p>
      <w:pPr>
        <w:spacing w:after="120" w:line="276"/>
      </w:pPr>
      <w:r>
        <w:rPr>
          <w:rFonts w:ascii="Calibri" w:cs="Calibri" w:eastAsia="Calibri" w:hAnsi="Calibri"/>
          <w:b w:val="false"/>
          <w:bCs w:val="false"/>
        </w:rPr>
        <w:t xml:space="preserve">This project is positioned against the Indian Army challenge “Modular and scalable multi-role ammunition for Unmanned Aerial Systems”. TwinGuard does not design, simulate or test any munition. It addresses the software assurance needs that the challenge raises around modular platforms: integration with indigenous UAS platforms, platform compatibility verification (electrical, mechanical and software), datalink integrity, safety-mechanism validation, and a software-defined, plug-and-play module interface.</w:t>
      </w:r>
    </w:p>
    <w:p>
      <w:pPr>
        <w:spacing w:after="120" w:line="276"/>
      </w:pPr>
      <w:r>
        <w:rPr>
          <w:rFonts w:ascii="Calibri" w:cs="Calibri" w:eastAsia="Calibri" w:hAnsi="Calibri"/>
          <w:b w:val="false"/>
          <w:bCs w:val="false"/>
        </w:rPr>
        <w:t xml:space="preserve">Non-weapon stand-in modules, such as sensor and power modules, are used to show how a modular UAS can be checked, investigated and certified in software before physical integration.</w:t>
      </w:r>
    </w:p>
    <w:p>
      <w:pPr>
        <w:pStyle w:val="Heading1"/>
      </w:pPr>
      <w:r>
        <w:rPr>
          <w:rFonts w:ascii="Calibri" w:cs="Calibri" w:eastAsia="Calibri" w:hAnsi="Calibri"/>
        </w:rPr>
        <w:t xml:space="preserve">3. Objectives</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Primary objective:</w:t>
      </w:r>
      <w:r>
        <w:rPr>
          <w:rFonts w:ascii="Calibri" w:cs="Calibri" w:eastAsia="Calibri" w:hAnsi="Calibri"/>
          <w:b w:val="false"/>
          <w:bCs w:val="false"/>
        </w:rPr>
        <w:t xml:space="preserve"> to develop TwinGuard, an agentic AI-driven, self-validating digital twin framework that synchronises with a simulated UAS and a physical sensor test bench, evaluates component health and interoperability, investigates cyber-physical anomalies through specialised agents, and records evidence-backed, human-approved engineering recommendations in an auditable ledger.</w:t>
      </w:r>
    </w:p>
    <w:p>
      <w:pPr>
        <w:spacing w:after="60"/>
      </w:pPr>
      <w:r>
        <w:rPr>
          <w:rFonts w:ascii="Calibri" w:cs="Calibri" w:eastAsia="Calibri" w:hAnsi="Calibri"/>
          <w:b w:val="false"/>
          <w:bCs w:val="false"/>
        </w:rPr>
        <w:t xml:space="preserve"/>
      </w:r>
      <w:r>
        <w:rPr>
          <w:rFonts w:ascii="Calibri" w:cs="Calibri" w:eastAsia="Calibri" w:hAnsi="Calibri"/>
          <w:b/>
          <w:bCs/>
        </w:rPr>
        <w:t xml:space="preserve">Specific objectives:</w:t>
      </w:r>
      <w:r>
        <w:rPr>
          <w:rFonts w:ascii="Calibri" w:cs="Calibri" w:eastAsia="Calibri" w:hAnsi="Calibri"/>
          <w:b w:val="false"/>
          <w:bCs w:val="false"/>
        </w:rPr>
        <w:t xml:space="preserve"/>
      </w:r>
    </w:p>
    <w:p>
      <w:pPr>
        <w:pStyle w:val="ListParagraph"/>
        <w:numPr>
          <w:ilvl w:val="0"/>
          <w:numId w:val="2"/>
        </w:numPr>
        <w:spacing w:after="60" w:line="276"/>
      </w:pPr>
      <w:r>
        <w:rPr>
          <w:rFonts w:ascii="Calibri" w:cs="Calibri" w:eastAsia="Calibri" w:hAnsi="Calibri"/>
          <w:b w:val="false"/>
          <w:bCs w:val="false"/>
        </w:rPr>
        <w:t xml:space="preserve">Detect when the digital twin’s predictions are no longer trustworthy and quantify its confidence.</w:t>
      </w:r>
    </w:p>
    <w:p>
      <w:pPr>
        <w:pStyle w:val="ListParagraph"/>
        <w:numPr>
          <w:ilvl w:val="0"/>
          <w:numId w:val="2"/>
        </w:numPr>
        <w:spacing w:after="60" w:line="276"/>
      </w:pPr>
      <w:r>
        <w:rPr>
          <w:rFonts w:ascii="Calibri" w:cs="Calibri" w:eastAsia="Calibri" w:hAnsi="Calibri"/>
          <w:b w:val="false"/>
          <w:bCs w:val="false"/>
        </w:rPr>
        <w:t xml:space="preserve">Investigate anomalies with coordinated agents that separate confirmed observations from possible explanations and flag insufficient evidence.</w:t>
      </w:r>
    </w:p>
    <w:p>
      <w:pPr>
        <w:pStyle w:val="ListParagraph"/>
        <w:numPr>
          <w:ilvl w:val="0"/>
          <w:numId w:val="2"/>
        </w:numPr>
        <w:spacing w:after="60" w:line="276"/>
      </w:pPr>
      <w:r>
        <w:rPr>
          <w:rFonts w:ascii="Calibri" w:cs="Calibri" w:eastAsia="Calibri" w:hAnsi="Calibri"/>
          <w:b w:val="false"/>
          <w:bCs w:val="false"/>
        </w:rPr>
        <w:t xml:space="preserve">Verify component compatibility against documented rules before integration.</w:t>
      </w:r>
    </w:p>
    <w:p>
      <w:pPr>
        <w:pStyle w:val="ListParagraph"/>
        <w:numPr>
          <w:ilvl w:val="0"/>
          <w:numId w:val="2"/>
        </w:numPr>
        <w:spacing w:after="60" w:line="276"/>
      </w:pPr>
      <w:r>
        <w:rPr>
          <w:rFonts w:ascii="Calibri" w:cs="Calibri" w:eastAsia="Calibri" w:hAnsi="Calibri"/>
          <w:b w:val="false"/>
          <w:bCs w:val="false"/>
        </w:rPr>
        <w:t xml:space="preserve">Replay incidents and run controlled what-if fault scenarios reproducibly.</w:t>
      </w:r>
    </w:p>
    <w:p>
      <w:pPr>
        <w:pStyle w:val="ListParagraph"/>
        <w:numPr>
          <w:ilvl w:val="0"/>
          <w:numId w:val="2"/>
        </w:numPr>
        <w:spacing w:after="60" w:line="276"/>
      </w:pPr>
      <w:r>
        <w:rPr>
          <w:rFonts w:ascii="Calibri" w:cs="Calibri" w:eastAsia="Calibri" w:hAnsi="Calibri"/>
          <w:b w:val="false"/>
          <w:bCs w:val="false"/>
        </w:rPr>
        <w:t xml:space="preserve">Record every investigation in a tamper-evident ledger and prevent unsupported AI conclusions from being treated as verified.</w:t>
      </w:r>
    </w:p>
    <w:p>
      <w:pPr>
        <w:pStyle w:val="Heading1"/>
      </w:pPr>
      <w:r>
        <w:rPr>
          <w:rFonts w:ascii="Calibri" w:cs="Calibri" w:eastAsia="Calibri" w:hAnsi="Calibri"/>
        </w:rPr>
        <w:t xml:space="preserve">4. Existing Solutions and the Gap</w:t>
      </w:r>
    </w:p>
    <w:p>
      <w:pPr>
        <w:spacing w:after="120" w:line="276"/>
      </w:pPr>
      <w:r>
        <w:rPr>
          <w:rFonts w:ascii="Calibri" w:cs="Calibri" w:eastAsia="Calibri" w:hAnsi="Calibri"/>
          <w:b w:val="false"/>
          <w:bCs w:val="false"/>
        </w:rPr>
        <w:t xml:space="preserve">Each capability below exists. The table summarises published sources reviewed on 21 October 2026 and what TwinGuard adds. Statements about gaps refer to the sources reviewed, not to every existing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50"/>
        <w:gridCol w:w="2600"/>
        <w:gridCol w:w="247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Area</w:t>
            </w:r>
          </w:p>
        </w:tc>
        <w:tc>
          <w:tcPr>
            <w:tcW w:type="dxa" w:w="21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Existing work</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What it provides</w:t>
            </w:r>
          </w:p>
        </w:tc>
        <w:tc>
          <w:tcPr>
            <w:tcW w:type="dxa" w:w="2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Gap addressed by TwinGuard</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Digital-twin credibility</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NIST (2022); National Academies report on digital twins; Auburn thesis on verification and validation [1–3]</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Frameworks that call for verification, validation and uncertainty quantification across a twin’s lifecycle. The Auburn review found relatively few manufacturing studies reporting both verification and validation.</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Turns credibility into a runtime confidence score that gates AI conclusions during an investigation, rather than a design-time guideline.</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UAS cyber and anomaly detection</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Fraser et al. (2021); Ferrão et al. (2024); UAV self-diagnosis study [4–6]</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Digital-twin and machine-learning detection of GPS spoofing, separating spoofing from jamming, and UAV self-assessment of subsystem changes.</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These focus on detecting and classifying attacks. TwinGuard adds physical-fault versus cyber versus configuration diagnosis, twin trust and an evidence record in one workflow.</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Incident replay</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PX4 system-wide replay and EKF2 replay [7]</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Re-runs recorded flight logs through the flight stack for analysis. The documentation notes that replay of logs with multiple EKF instances is not supported.</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Links replay to recorded digital-twin state, what-if fault scenarios and the investigation ledger.</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Interoperability and compatibility</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 Army UAS interoperability profiles, interface control documents and JSIL test tools [8]</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Standardised, SysML-based interface profiles under a modular open systems approach, and tools to check compliance with those profiles.</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Lightweight, rule-based pre-integration checks on synthetic non-weapon component specifications that feed directly into the investigation. The U.S. programme is cited as a reference for the problem, not as an Indian standard.</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AI agents for diagnosis</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Roy et al. (FSE 2024) [9]</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Shows that LLM agents with retrieval tools can gather logs and metrics for root-cause analysis of cloud incidents.</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Applies the idea to cyber-physical UAS evidence, with twin-confidence and evidence checks before a conclusion is accepted.</w:t>
            </w:r>
          </w:p>
        </w:tc>
      </w:tr>
      <w:tr>
        <w:trPr>
          <w:cantSplit/>
        </w:trPr>
        <w:tc>
          <w:tcPr>
            <w:tcW w:type="dxa" w:w="18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Agent audit and provenance</w:t>
            </w:r>
          </w:p>
        </w:tc>
        <w:tc>
          <w:tcPr>
            <w:tcW w:type="dxa" w:w="215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Survey on evidence tracing and execution provenance in LLM agents [10]</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Reviews how agent behaviour can be traced and audited, noting that growing autonomy makes agents harder to verify and audit.</w:t>
            </w:r>
          </w:p>
        </w:tc>
        <w:tc>
          <w:tcPr>
            <w:tcW w:type="dxa" w:w="247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 domain-specific, hash-chained ledger linking telemetry, twin version and confidence, agent findings and human approval.</w:t>
            </w:r>
          </w:p>
        </w:tc>
      </w:tr>
    </w:tbl>
    <w:p>
      <w:pPr>
        <w:spacing w:after="80"/>
      </w:pPr>
    </w:p>
    <w:p>
      <w:pPr>
        <w:pStyle w:val="Heading1"/>
      </w:pPr>
      <w:r>
        <w:rPr>
          <w:rFonts w:ascii="Calibri" w:cs="Calibri" w:eastAsia="Calibri" w:hAnsi="Calibri"/>
        </w:rPr>
        <w:t xml:space="preserve">5. Proposed Solution: TwinGuard</w:t>
      </w:r>
    </w:p>
    <w:p>
      <w:pPr>
        <w:spacing w:after="120" w:line="276"/>
      </w:pPr>
      <w:r>
        <w:rPr>
          <w:rFonts w:ascii="Calibri" w:cs="Calibri" w:eastAsia="Calibri" w:hAnsi="Calibri"/>
          <w:b w:val="false"/>
          <w:bCs w:val="false"/>
        </w:rPr>
        <w:t xml:space="preserve">TwinGuard is one integrated workflow made of five modules, not five separate projects. Build depth differs: Modules 1, 2 and 5 are the core, Module 3 is medium, and Module 4 is light.</w:t>
      </w:r>
    </w:p>
    <w:p>
      <w:pPr>
        <w:pStyle w:val="Heading2"/>
      </w:pPr>
      <w:r>
        <w:rPr>
          <w:rFonts w:ascii="Calibri" w:cs="Calibri" w:eastAsia="Calibri" w:hAnsi="Calibri"/>
        </w:rPr>
        <w:t xml:space="preserve">5.1 Module 1: Self-Validating Digital Twin (core)</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Purpose.</w:t>
      </w:r>
      <w:r>
        <w:rPr>
          <w:rFonts w:ascii="Calibri" w:cs="Calibri" w:eastAsia="Calibri" w:hAnsi="Calibri"/>
          <w:b w:val="false"/>
          <w:bCs w:val="false"/>
        </w:rPr>
        <w:t xml:space="preserve"> Maintain a virtual representation of the UAS and identify when it becomes unreliable.</w:t>
      </w:r>
    </w:p>
    <w:p>
      <w:pPr>
        <w:pStyle w:val="ListParagraph"/>
        <w:numPr>
          <w:ilvl w:val="0"/>
          <w:numId w:val="2"/>
        </w:numPr>
        <w:spacing w:after="60" w:line="276"/>
      </w:pPr>
      <w:r>
        <w:rPr>
          <w:rFonts w:ascii="Calibri" w:cs="Calibri" w:eastAsia="Calibri" w:hAnsi="Calibri"/>
          <w:b w:val="false"/>
          <w:bCs w:val="false"/>
        </w:rPr>
        <w:t xml:space="preserve">Synchronises with telemetry from the ESP32 bench and the Python UAS simulator, such as battery voltage, temperature and communication latency.</w:t>
      </w:r>
    </w:p>
    <w:p>
      <w:pPr>
        <w:pStyle w:val="ListParagraph"/>
        <w:numPr>
          <w:ilvl w:val="0"/>
          <w:numId w:val="2"/>
        </w:numPr>
        <w:spacing w:after="60" w:line="276"/>
      </w:pPr>
      <w:r>
        <w:rPr>
          <w:rFonts w:ascii="Calibri" w:cs="Calibri" w:eastAsia="Calibri" w:hAnsi="Calibri"/>
          <w:b w:val="false"/>
          <w:bCs w:val="false"/>
        </w:rPr>
        <w:t xml:space="preserve">Uses component models that are independent of the simulator (for example a battery-discharge model and a thermal model) fitted to fault-free baseline runs, so deviations are genuine rather than self-agreement.</w:t>
      </w:r>
    </w:p>
    <w:p>
      <w:pPr>
        <w:pStyle w:val="ListParagraph"/>
        <w:numPr>
          <w:ilvl w:val="0"/>
          <w:numId w:val="2"/>
        </w:numPr>
        <w:spacing w:after="60" w:line="276"/>
      </w:pPr>
      <w:r>
        <w:rPr>
          <w:rFonts w:ascii="Calibri" w:cs="Calibri" w:eastAsia="Calibri" w:hAnsi="Calibri"/>
          <w:b w:val="false"/>
          <w:bCs w:val="false"/>
        </w:rPr>
        <w:t xml:space="preserve">Compares predicted and observed values. The confidence score combines normalised prediction error with a check that operating conditions lie inside the range where the model was validated.</w:t>
      </w:r>
    </w:p>
    <w:p>
      <w:pPr>
        <w:pStyle w:val="ListParagraph"/>
        <w:numPr>
          <w:ilvl w:val="0"/>
          <w:numId w:val="2"/>
        </w:numPr>
        <w:spacing w:after="60" w:line="276"/>
      </w:pPr>
      <w:r>
        <w:rPr>
          <w:rFonts w:ascii="Calibri" w:cs="Calibri" w:eastAsia="Calibri" w:hAnsi="Calibri"/>
          <w:b w:val="false"/>
          <w:bCs w:val="false"/>
        </w:rPr>
        <w:t xml:space="preserve">Classifies the twin as Trusted, Degraded or Untrusted using thresholds calibrated on baseline data, and requests recalibration or engineering review when it degrades.</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Innovation.</w:t>
      </w:r>
      <w:r>
        <w:rPr>
          <w:rFonts w:ascii="Calibri" w:cs="Calibri" w:eastAsia="Calibri" w:hAnsi="Calibri"/>
          <w:b w:val="false"/>
          <w:bCs w:val="false"/>
        </w:rPr>
        <w:t xml:space="preserve"> The twin evaluates whether its own predictions remain trustworthy instead of only displaying system state.</w:t>
      </w:r>
    </w:p>
    <w:p>
      <w:pPr>
        <w:pStyle w:val="Heading2"/>
      </w:pPr>
      <w:r>
        <w:rPr>
          <w:rFonts w:ascii="Calibri" w:cs="Calibri" w:eastAsia="Calibri" w:hAnsi="Calibri"/>
        </w:rPr>
        <w:t xml:space="preserve">5.2 Module 2: Agentic AI Cyber-Physical Investigation Engine (core)</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Purpose.</w:t>
      </w:r>
      <w:r>
        <w:rPr>
          <w:rFonts w:ascii="Calibri" w:cs="Calibri" w:eastAsia="Calibri" w:hAnsi="Calibri"/>
          <w:b w:val="false"/>
          <w:bCs w:val="false"/>
        </w:rPr>
        <w:t xml:space="preserve"> Investigate anomalies through coordinated agents rather than raising isolated alerts.</w:t>
      </w:r>
    </w:p>
    <w:p>
      <w:pPr>
        <w:pStyle w:val="ListParagraph"/>
        <w:numPr>
          <w:ilvl w:val="0"/>
          <w:numId w:val="2"/>
        </w:numPr>
        <w:spacing w:after="60" w:line="276"/>
      </w:pPr>
      <w:r>
        <w:rPr>
          <w:rFonts w:ascii="Calibri" w:cs="Calibri" w:eastAsia="Calibri" w:hAnsi="Calibri"/>
          <w:b w:val="false"/>
          <w:bCs w:val="false"/>
        </w:rPr>
        <w:t xml:space="preserve">Three agents, coordinated by an orchestrator: Health and Diagnostics Agent, Cybersecurity Agent and Compatibility Agent.</w:t>
      </w:r>
    </w:p>
    <w:p>
      <w:pPr>
        <w:pStyle w:val="ListParagraph"/>
        <w:numPr>
          <w:ilvl w:val="0"/>
          <w:numId w:val="2"/>
        </w:numPr>
        <w:spacing w:after="60" w:line="276"/>
      </w:pPr>
      <w:r>
        <w:rPr>
          <w:rFonts w:ascii="Calibri" w:cs="Calibri" w:eastAsia="Calibri" w:hAnsi="Calibri"/>
          <w:b w:val="false"/>
          <w:bCs w:val="false"/>
        </w:rPr>
        <w:t xml:space="preserve">Deterministic tools perform the checks (residual analysis, log and message queries, configuration comparison, rule checks). The agents plan the investigation, call the tools and write the report, citing the evidence they used.</w:t>
      </w:r>
    </w:p>
    <w:p>
      <w:pPr>
        <w:pStyle w:val="ListParagraph"/>
        <w:numPr>
          <w:ilvl w:val="0"/>
          <w:numId w:val="2"/>
        </w:numPr>
        <w:spacing w:after="60" w:line="276"/>
      </w:pPr>
      <w:r>
        <w:rPr>
          <w:rFonts w:ascii="Calibri" w:cs="Calibri" w:eastAsia="Calibri" w:hAnsi="Calibri"/>
          <w:b w:val="false"/>
          <w:bCs w:val="false"/>
        </w:rPr>
        <w:t xml:space="preserve">Separates physical faults from cyber events using documented signatures, for example gradual drift correlated with temperature versus a sudden step change that coincides with an unauthorised message or configuration change.</w:t>
      </w:r>
    </w:p>
    <w:p>
      <w:pPr>
        <w:pStyle w:val="ListParagraph"/>
        <w:numPr>
          <w:ilvl w:val="0"/>
          <w:numId w:val="2"/>
        </w:numPr>
        <w:spacing w:after="60" w:line="276"/>
      </w:pPr>
      <w:r>
        <w:rPr>
          <w:rFonts w:ascii="Calibri" w:cs="Calibri" w:eastAsia="Calibri" w:hAnsi="Calibri"/>
          <w:b w:val="false"/>
          <w:bCs w:val="false"/>
        </w:rPr>
        <w:t xml:space="preserve">Every report distinguishes confirmed observations, possible explanations and cases where the evidence is insufficient.</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Innovation.</w:t>
      </w:r>
      <w:r>
        <w:rPr>
          <w:rFonts w:ascii="Calibri" w:cs="Calibri" w:eastAsia="Calibri" w:hAnsi="Calibri"/>
          <w:b w:val="false"/>
          <w:bCs w:val="false"/>
        </w:rPr>
        <w:t xml:space="preserve"> Multi-step, evidence-based engineering investigation rather than simple anomaly detection.</w:t>
      </w:r>
    </w:p>
    <w:p>
      <w:pPr>
        <w:pStyle w:val="Heading2"/>
      </w:pPr>
      <w:r>
        <w:rPr>
          <w:rFonts w:ascii="Calibri" w:cs="Calibri" w:eastAsia="Calibri" w:hAnsi="Calibri"/>
        </w:rPr>
        <w:t xml:space="preserve">5.3 Module 3: Virtual Interoperability and Compatibility Lab (medium)</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Purpose.</w:t>
      </w:r>
      <w:r>
        <w:rPr>
          <w:rFonts w:ascii="Calibri" w:cs="Calibri" w:eastAsia="Calibri" w:hAnsi="Calibri"/>
          <w:b w:val="false"/>
          <w:bCs w:val="false"/>
        </w:rPr>
        <w:t xml:space="preserve"> Identify documented component incompatibilities before controlled physical integration.</w:t>
      </w:r>
    </w:p>
    <w:p>
      <w:pPr>
        <w:pStyle w:val="ListParagraph"/>
        <w:numPr>
          <w:ilvl w:val="0"/>
          <w:numId w:val="2"/>
        </w:numPr>
        <w:spacing w:after="60" w:line="276"/>
      </w:pPr>
      <w:r>
        <w:rPr>
          <w:rFonts w:ascii="Calibri" w:cs="Calibri" w:eastAsia="Calibri" w:hAnsi="Calibri"/>
          <w:b w:val="false"/>
          <w:bCs w:val="false"/>
        </w:rPr>
        <w:t xml:space="preserve">A component registry of approved, non-weapon modules with synthetic specifications: identifiers, electrical and power limits, software and protocol versions, interface requirements and approved configuration constraints.</w:t>
      </w:r>
    </w:p>
    <w:p>
      <w:pPr>
        <w:pStyle w:val="ListParagraph"/>
        <w:numPr>
          <w:ilvl w:val="0"/>
          <w:numId w:val="2"/>
        </w:numPr>
        <w:spacing w:after="60" w:line="276"/>
      </w:pPr>
      <w:r>
        <w:rPr>
          <w:rFonts w:ascii="Calibri" w:cs="Calibri" w:eastAsia="Calibri" w:hAnsi="Calibri"/>
          <w:b w:val="false"/>
          <w:bCs w:val="false"/>
        </w:rPr>
        <w:t xml:space="preserve">A rules engine checks a selected module against the platform’s constraints and explains each violated requirement.</w:t>
      </w:r>
    </w:p>
    <w:p>
      <w:pPr>
        <w:pStyle w:val="ListParagraph"/>
        <w:numPr>
          <w:ilvl w:val="0"/>
          <w:numId w:val="2"/>
        </w:numPr>
        <w:spacing w:after="60" w:line="276"/>
      </w:pPr>
      <w:r>
        <w:rPr>
          <w:rFonts w:ascii="Calibri" w:cs="Calibri" w:eastAsia="Calibri" w:hAnsi="Calibri"/>
          <w:b w:val="false"/>
          <w:bCs w:val="false"/>
        </w:rPr>
        <w:t xml:space="preserve">Used by the Compatibility Agent during investigations and on its own before integration.</w:t>
      </w:r>
    </w:p>
    <w:p>
      <w:pPr>
        <w:pStyle w:val="ListParagraph"/>
        <w:numPr>
          <w:ilvl w:val="0"/>
          <w:numId w:val="2"/>
        </w:numPr>
        <w:spacing w:after="60" w:line="276"/>
      </w:pPr>
      <w:r>
        <w:rPr>
          <w:rFonts w:ascii="Calibri" w:cs="Calibri" w:eastAsia="Calibri" w:hAnsi="Calibri"/>
          <w:b w:val="false"/>
          <w:bCs w:val="false"/>
        </w:rPr>
        <w:t xml:space="preserve">Demonstration: swap a sensor module, run the compatibility check, then revalidate the twin.</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Innovation.</w:t>
      </w:r>
      <w:r>
        <w:rPr>
          <w:rFonts w:ascii="Calibri" w:cs="Calibri" w:eastAsia="Calibri" w:hAnsi="Calibri"/>
          <w:b w:val="false"/>
          <w:bCs w:val="false"/>
        </w:rPr>
        <w:t xml:space="preserve"> Traceable, rule-based compatibility verification integrated with the digital twin and the investigation workflow.</w:t>
      </w:r>
    </w:p>
    <w:p>
      <w:pPr>
        <w:pStyle w:val="Heading2"/>
      </w:pPr>
      <w:r>
        <w:rPr>
          <w:rFonts w:ascii="Calibri" w:cs="Calibri" w:eastAsia="Calibri" w:hAnsi="Calibri"/>
        </w:rPr>
        <w:t xml:space="preserve">5.4 Module 4: Digital Twin Time Machine and What-If Simulator (light)</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Purpose.</w:t>
      </w:r>
      <w:r>
        <w:rPr>
          <w:rFonts w:ascii="Calibri" w:cs="Calibri" w:eastAsia="Calibri" w:hAnsi="Calibri"/>
          <w:b w:val="false"/>
          <w:bCs w:val="false"/>
        </w:rPr>
        <w:t xml:space="preserve"> Reconstruct incidents and investigate system behaviour under controlled fault scenarios.</w:t>
      </w:r>
    </w:p>
    <w:p>
      <w:pPr>
        <w:pStyle w:val="ListParagraph"/>
        <w:numPr>
          <w:ilvl w:val="0"/>
          <w:numId w:val="2"/>
        </w:numPr>
        <w:spacing w:after="60" w:line="276"/>
      </w:pPr>
      <w:r>
        <w:rPr>
          <w:rFonts w:ascii="Calibri" w:cs="Calibri" w:eastAsia="Calibri" w:hAnsi="Calibri"/>
          <w:b w:val="false"/>
          <w:bCs w:val="false"/>
        </w:rPr>
        <w:t xml:space="preserve">Stores timestamped twin states in the database.</w:t>
      </w:r>
    </w:p>
    <w:p>
      <w:pPr>
        <w:pStyle w:val="ListParagraph"/>
        <w:numPr>
          <w:ilvl w:val="0"/>
          <w:numId w:val="2"/>
        </w:numPr>
        <w:spacing w:after="60" w:line="276"/>
      </w:pPr>
      <w:r>
        <w:rPr>
          <w:rFonts w:ascii="Calibri" w:cs="Calibri" w:eastAsia="Calibri" w:hAnsi="Calibri"/>
          <w:b w:val="false"/>
          <w:bCs w:val="false"/>
        </w:rPr>
        <w:t xml:space="preserve">Replays events before, during and after an anomaly, using fixed random seeds so replays are reproducible.</w:t>
      </w:r>
    </w:p>
    <w:p>
      <w:pPr>
        <w:pStyle w:val="ListParagraph"/>
        <w:numPr>
          <w:ilvl w:val="0"/>
          <w:numId w:val="2"/>
        </w:numPr>
        <w:spacing w:after="60" w:line="276"/>
      </w:pPr>
      <w:r>
        <w:rPr>
          <w:rFonts w:ascii="Calibri" w:cs="Calibri" w:eastAsia="Calibri" w:hAnsi="Calibri"/>
          <w:b w:val="false"/>
          <w:bCs w:val="false"/>
        </w:rPr>
        <w:t xml:space="preserve">Provides preset fault scenarios: sensor calibration error, battery degradation, communication loss and configuration inconsistency.</w:t>
      </w:r>
    </w:p>
    <w:p>
      <w:pPr>
        <w:pStyle w:val="ListParagraph"/>
        <w:numPr>
          <w:ilvl w:val="0"/>
          <w:numId w:val="2"/>
        </w:numPr>
        <w:spacing w:after="60" w:line="276"/>
      </w:pPr>
      <w:r>
        <w:rPr>
          <w:rFonts w:ascii="Calibri" w:cs="Calibri" w:eastAsia="Calibri" w:hAnsi="Calibri"/>
          <w:b w:val="false"/>
          <w:bCs w:val="false"/>
        </w:rPr>
        <w:t xml:space="preserve">Compares baseline and fault-scenario behaviour and supplies reproducible scenarios to the investigation engine.</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Innovation.</w:t>
      </w:r>
      <w:r>
        <w:rPr>
          <w:rFonts w:ascii="Calibri" w:cs="Calibri" w:eastAsia="Calibri" w:hAnsi="Calibri"/>
          <w:b w:val="false"/>
          <w:bCs w:val="false"/>
        </w:rPr>
        <w:t xml:space="preserve"> Repeatable virtual experiments instead of relying only on live monitoring or repeated physical tests.</w:t>
      </w:r>
    </w:p>
    <w:p>
      <w:pPr>
        <w:pStyle w:val="Heading2"/>
      </w:pPr>
      <w:r>
        <w:rPr>
          <w:rFonts w:ascii="Calibri" w:cs="Calibri" w:eastAsia="Calibri" w:hAnsi="Calibri"/>
        </w:rPr>
        <w:t xml:space="preserve">5.5 Module 5: Trustworthy AI Engineering Evidence Ledger (core)</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Purpose.</w:t>
      </w:r>
      <w:r>
        <w:rPr>
          <w:rFonts w:ascii="Calibri" w:cs="Calibri" w:eastAsia="Calibri" w:hAnsi="Calibri"/>
          <w:b w:val="false"/>
          <w:bCs w:val="false"/>
        </w:rPr>
        <w:t xml:space="preserve"> Make AI-assisted investigations reproducible and auditable.</w:t>
      </w:r>
    </w:p>
    <w:p>
      <w:pPr>
        <w:pStyle w:val="ListParagraph"/>
        <w:numPr>
          <w:ilvl w:val="0"/>
          <w:numId w:val="2"/>
        </w:numPr>
        <w:spacing w:after="60" w:line="276"/>
      </w:pPr>
      <w:r>
        <w:rPr>
          <w:rFonts w:ascii="Calibri" w:cs="Calibri" w:eastAsia="Calibri" w:hAnsi="Calibri"/>
          <w:b w:val="false"/>
          <w:bCs w:val="false"/>
        </w:rPr>
        <w:t xml:space="preserve">An append-only, hash-chained log of the telemetry and logs used, twin version and confidence, tools and agents involved, findings with supporting evidence, recommendations with uncertainty, human approval and test outcome. Any alteration breaks the chain and is detected.</w:t>
      </w:r>
    </w:p>
    <w:p>
      <w:pPr>
        <w:pStyle w:val="ListParagraph"/>
        <w:numPr>
          <w:ilvl w:val="0"/>
          <w:numId w:val="2"/>
        </w:numPr>
        <w:spacing w:after="60" w:line="276"/>
      </w:pPr>
      <w:r>
        <w:rPr>
          <w:rFonts w:ascii="Calibri" w:cs="Calibri" w:eastAsia="Calibri" w:hAnsi="Calibri"/>
          <w:b w:val="false"/>
          <w:bCs w:val="false"/>
        </w:rPr>
        <w:t xml:space="preserve">A validation gate: a recommendation is marked inconclusive and routed to engineering review if twin confidence is below its threshold or the evidence required for that diagnosis type is missing.</w:t>
      </w:r>
    </w:p>
    <w:p>
      <w:pPr>
        <w:spacing w:after="120" w:line="276"/>
      </w:pPr>
      <w:r>
        <w:rPr>
          <w:rFonts w:ascii="Calibri" w:cs="Calibri" w:eastAsia="Calibri" w:hAnsi="Calibri"/>
          <w:b w:val="false"/>
          <w:bCs w:val="false"/>
        </w:rPr>
        <w:t xml:space="preserve"/>
      </w:r>
      <w:r>
        <w:rPr>
          <w:rFonts w:ascii="Calibri" w:cs="Calibri" w:eastAsia="Calibri" w:hAnsi="Calibri"/>
          <w:b/>
          <w:bCs/>
        </w:rPr>
        <w:t xml:space="preserve">Innovation.</w:t>
      </w:r>
      <w:r>
        <w:rPr>
          <w:rFonts w:ascii="Calibri" w:cs="Calibri" w:eastAsia="Calibri" w:hAnsi="Calibri"/>
          <w:b w:val="false"/>
          <w:bCs w:val="false"/>
        </w:rPr>
        <w:t xml:space="preserve"> An integrated record connecting system observations, AI investigations, model reliability and human engineering decisions.</w:t>
      </w:r>
    </w:p>
    <w:p>
      <w:pPr>
        <w:pStyle w:val="Heading2"/>
      </w:pPr>
      <w:r>
        <w:rPr>
          <w:rFonts w:ascii="Calibri" w:cs="Calibri" w:eastAsia="Calibri" w:hAnsi="Calibri"/>
        </w:rPr>
        <w:t xml:space="preserve">5.6 End-to-end workflow</w:t>
      </w:r>
    </w:p>
    <w:p>
      <w:pPr>
        <w:pStyle w:val="ListParagraph"/>
        <w:numPr>
          <w:ilvl w:val="0"/>
          <w:numId w:val="3"/>
        </w:numPr>
        <w:spacing w:after="60" w:line="276"/>
      </w:pPr>
      <w:r>
        <w:rPr>
          <w:rFonts w:ascii="Calibri" w:cs="Calibri" w:eastAsia="Calibri" w:hAnsi="Calibri"/>
          <w:b w:val="false"/>
          <w:bCs w:val="false"/>
        </w:rPr>
        <w:t xml:space="preserve">Telemetry reaches the digital twin from the sensor bench or the simulator.</w:t>
      </w:r>
    </w:p>
    <w:p>
      <w:pPr>
        <w:pStyle w:val="ListParagraph"/>
        <w:numPr>
          <w:ilvl w:val="0"/>
          <w:numId w:val="3"/>
        </w:numPr>
        <w:spacing w:after="60" w:line="276"/>
      </w:pPr>
      <w:r>
        <w:rPr>
          <w:rFonts w:ascii="Calibri" w:cs="Calibri" w:eastAsia="Calibri" w:hAnsi="Calibri"/>
          <w:b w:val="false"/>
          <w:bCs w:val="false"/>
        </w:rPr>
        <w:t xml:space="preserve">Self-validation compares observed behaviour with the twin’s predictions and updates the confidence score.</w:t>
      </w:r>
    </w:p>
    <w:p>
      <w:pPr>
        <w:pStyle w:val="ListParagraph"/>
        <w:numPr>
          <w:ilvl w:val="0"/>
          <w:numId w:val="3"/>
        </w:numPr>
        <w:spacing w:after="60" w:line="276"/>
      </w:pPr>
      <w:r>
        <w:rPr>
          <w:rFonts w:ascii="Calibri" w:cs="Calibri" w:eastAsia="Calibri" w:hAnsi="Calibri"/>
          <w:b w:val="false"/>
          <w:bCs w:val="false"/>
        </w:rPr>
        <w:t xml:space="preserve">A discrepancy triggers the investigation engine, which gathers telemetry, configuration records and simulated security events.</w:t>
      </w:r>
    </w:p>
    <w:p>
      <w:pPr>
        <w:pStyle w:val="ListParagraph"/>
        <w:numPr>
          <w:ilvl w:val="0"/>
          <w:numId w:val="3"/>
        </w:numPr>
        <w:spacing w:after="60" w:line="276"/>
      </w:pPr>
      <w:r>
        <w:rPr>
          <w:rFonts w:ascii="Calibri" w:cs="Calibri" w:eastAsia="Calibri" w:hAnsi="Calibri"/>
          <w:b w:val="false"/>
          <w:bCs w:val="false"/>
        </w:rPr>
        <w:t xml:space="preserve">The compatibility lab checks whether a documented incompatibility could explain the anomaly.</w:t>
      </w:r>
    </w:p>
    <w:p>
      <w:pPr>
        <w:pStyle w:val="ListParagraph"/>
        <w:numPr>
          <w:ilvl w:val="0"/>
          <w:numId w:val="3"/>
        </w:numPr>
        <w:spacing w:after="60" w:line="276"/>
      </w:pPr>
      <w:r>
        <w:rPr>
          <w:rFonts w:ascii="Calibri" w:cs="Calibri" w:eastAsia="Calibri" w:hAnsi="Calibri"/>
          <w:b w:val="false"/>
          <w:bCs w:val="false"/>
        </w:rPr>
        <w:t xml:space="preserve">The time machine reconstructs the incident and compares baseline behaviour with fault scenarios.</w:t>
      </w:r>
    </w:p>
    <w:p>
      <w:pPr>
        <w:pStyle w:val="ListParagraph"/>
        <w:numPr>
          <w:ilvl w:val="0"/>
          <w:numId w:val="3"/>
        </w:numPr>
        <w:spacing w:after="60" w:line="276"/>
      </w:pPr>
      <w:r>
        <w:rPr>
          <w:rFonts w:ascii="Calibri" w:cs="Calibri" w:eastAsia="Calibri" w:hAnsi="Calibri"/>
          <w:b w:val="false"/>
          <w:bCs w:val="false"/>
        </w:rPr>
        <w:t xml:space="preserve">The ledger applies the validation gate and records findings, confidence, evidence and the human review.</w:t>
      </w:r>
    </w:p>
    <w:p>
      <w:pPr>
        <w:pStyle w:val="ListParagraph"/>
        <w:numPr>
          <w:ilvl w:val="0"/>
          <w:numId w:val="3"/>
        </w:numPr>
        <w:spacing w:after="60" w:line="276"/>
      </w:pPr>
      <w:r>
        <w:rPr>
          <w:rFonts w:ascii="Calibri" w:cs="Calibri" w:eastAsia="Calibri" w:hAnsi="Calibri"/>
          <w:b w:val="false"/>
          <w:bCs w:val="false"/>
        </w:rPr>
        <w:t xml:space="preserve">An approved corrective change is tested on the simulator or bench and the outcome is recorded, closing the loop.</w:t>
      </w:r>
    </w:p>
    <w:p>
      <w:pPr>
        <w:spacing w:after="80"/>
      </w:pPr>
    </w:p>
    <w:p>
      <w:pPr>
        <w:pStyle w:val="Heading1"/>
      </w:pPr>
      <w:r>
        <w:rPr>
          <w:rFonts w:ascii="Calibri" w:cs="Calibri" w:eastAsia="Calibri" w:hAnsi="Calibri"/>
        </w:rPr>
        <w:t xml:space="preserve">6. Technology Stack and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Component</w:t>
            </w:r>
          </w:p>
        </w:tc>
        <w:tc>
          <w:tcPr>
            <w:tcW w:type="dxa" w:w="3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Technology</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Note</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Physical sensor test bench</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ESP32 with temperature and voltage sensors; firmware in C</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Stands in for power and thermal monitoring of a module.</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UAS simulation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Python-based system simulator</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Fully controllable fault injection.</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Digital twin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Python component models; NetworkX for component relationships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Models are independent of the simulator.</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 transport</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MQTT</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Telemetry from bench and simulator.</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Backend</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Python, FastAPI</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Agent orchestration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LangGraph with a hosted LLM</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Deterministic tools do the checks; a rule-based fallback summary supports offline demonstration.</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Cybersecurity simulation</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Python-generated test events on an isolated test network</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Defensive detection only.</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PostgreSQL</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Telemetry, component registry and ledger.</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Dashboard</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Streamlit</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Deployment</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Local Docker for the demonstration</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Cloud deployment is optional.</w:t>
            </w:r>
          </w:p>
        </w:tc>
      </w:tr>
    </w:tbl>
    <w:p>
      <w:pPr>
        <w:spacing w:after="120" w:before="120"/>
      </w:pPr>
      <w:r>
        <w:rPr>
          <w:rFonts w:ascii="Calibri" w:cs="Calibri" w:eastAsia="Calibri" w:hAnsi="Calibri"/>
          <w:b w:val="false"/>
          <w:bCs w:val="false"/>
        </w:rPr>
        <w:t xml:space="preserve"/>
      </w:r>
      <w:r>
        <w:rPr>
          <w:rFonts w:ascii="Calibri" w:cs="Calibri" w:eastAsia="Calibri" w:hAnsi="Calibri"/>
          <w:b/>
          <w:bCs/>
        </w:rPr>
        <w:t xml:space="preserve">Scope decision:</w:t>
      </w:r>
      <w:r>
        <w:rPr>
          <w:rFonts w:ascii="Calibri" w:cs="Calibri" w:eastAsia="Calibri" w:hAnsi="Calibri"/>
          <w:b w:val="false"/>
          <w:bCs w:val="false"/>
        </w:rPr>
        <w:t xml:space="preserve"> one simulated UAS platform and one physical sensor test bench. Real flight hardware, live flight and any munition-related component are out of scope.</w:t>
      </w:r>
    </w:p>
    <w:p>
      <w:pPr>
        <w:pStyle w:val="Heading1"/>
      </w:pPr>
      <w:r>
        <w:rPr>
          <w:rFonts w:ascii="Calibri" w:cs="Calibri" w:eastAsia="Calibri" w:hAnsi="Calibri"/>
        </w:rPr>
        <w:t xml:space="preserve">7. Evaluation Plan</w:t>
      </w:r>
    </w:p>
    <w:p>
      <w:pPr>
        <w:spacing w:after="120" w:line="276"/>
      </w:pPr>
      <w:r>
        <w:rPr>
          <w:rFonts w:ascii="Calibri" w:cs="Calibri" w:eastAsia="Calibri" w:hAnsi="Calibri"/>
          <w:b w:val="false"/>
          <w:bCs w:val="false"/>
        </w:rPr>
        <w:t xml:space="preserve">The targets below are proposed and should be calibrated after baseline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Metric</w:t>
            </w:r>
          </w:p>
        </w:tc>
        <w:tc>
          <w:tcPr>
            <w:tcW w:type="dxa" w:w="3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How it is measured</w:t>
            </w:r>
          </w:p>
        </w:tc>
        <w:tc>
          <w:tcPr>
            <w:tcW w:type="dxa" w:w="29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Proposed target</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Deviation detection rate</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Injected faults and simulated attacks across repeated runs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90% or higher</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False-alarm rate</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Fault-free runs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10% or lower</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Diagnosis accuracy</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Labelled scenarios: physical fault, cyber event, configuration or compatibility issue</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80% or higher, with a confusion matrix</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Evidence coverage</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Share of findings linked to at least one ledger evidence item</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100%</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Validation-gate correctness</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Test cases with low twin confidence or missing evidence</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100% marked inconclusive</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Ledger integrity</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Tamper tests on stored records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100% detected</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Replay reproducibility</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Replayed twin states compared with recorded states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Within a defined tolerance</w:t>
            </w:r>
          </w:p>
        </w:tc>
      </w:tr>
      <w:tr>
        <w:trPr>
          <w:cantSplit/>
        </w:trPr>
        <w:tc>
          <w:tcPr>
            <w:tcW w:type="dxa" w:w="2300"/>
            <w:tcBorders>
              <w:top w:val="single" w:color="A6A6A6" w:sz="4"/>
              <w:left w:val="single" w:color="A6A6A6" w:sz="4"/>
              <w:bottom w:val="single" w:color="A6A6A6" w:sz="4"/>
              <w:right w:val="single" w:color="A6A6A6" w:sz="4"/>
            </w:tcBorders>
            <w:shd w:fill="EAF0FA"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Time to diagnosis</w:t>
            </w:r>
          </w:p>
        </w:tc>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Compared with a manual investigation of the same scenarios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Reported, no fixed target</w:t>
            </w:r>
          </w:p>
        </w:tc>
      </w:tr>
    </w:tbl>
    <w:p>
      <w:pPr>
        <w:spacing w:after="80"/>
      </w:pPr>
    </w:p>
    <w:p>
      <w:pPr>
        <w:pStyle w:val="Heading1"/>
      </w:pPr>
      <w:r>
        <w:rPr>
          <w:rFonts w:ascii="Calibri" w:cs="Calibri" w:eastAsia="Calibri" w:hAnsi="Calibri"/>
        </w:rPr>
        <w:t xml:space="preserve">8. Innovation and Uniqueness</w:t>
      </w:r>
    </w:p>
    <w:p>
      <w:pPr>
        <w:spacing w:after="120" w:line="276"/>
      </w:pPr>
      <w:r>
        <w:rPr>
          <w:rFonts w:ascii="Calibri" w:cs="Calibri" w:eastAsia="Calibri" w:hAnsi="Calibri"/>
          <w:b w:val="false"/>
          <w:bCs w:val="false"/>
        </w:rPr>
        <w:t xml:space="preserve">TwinGuard does not claim to be the first digital twin, anomaly detector, replay tool or AI diagnostic assistant. The published work in Section 4 shows that these exist. Its contribution is an integrated assurance workflow that:</w:t>
      </w:r>
    </w:p>
    <w:p>
      <w:pPr>
        <w:pStyle w:val="ListParagraph"/>
        <w:numPr>
          <w:ilvl w:val="0"/>
          <w:numId w:val="2"/>
        </w:numPr>
        <w:spacing w:after="60" w:line="276"/>
      </w:pPr>
      <w:r>
        <w:rPr>
          <w:rFonts w:ascii="Calibri" w:cs="Calibri" w:eastAsia="Calibri" w:hAnsi="Calibri"/>
          <w:b w:val="false"/>
          <w:bCs w:val="false"/>
        </w:rPr>
        <w:t xml:space="preserve">evaluates the reliability of its own virtual model at runtime;</w:t>
      </w:r>
    </w:p>
    <w:p>
      <w:pPr>
        <w:pStyle w:val="ListParagraph"/>
        <w:numPr>
          <w:ilvl w:val="0"/>
          <w:numId w:val="2"/>
        </w:numPr>
        <w:spacing w:after="60" w:line="276"/>
      </w:pPr>
      <w:r>
        <w:rPr>
          <w:rFonts w:ascii="Calibri" w:cs="Calibri" w:eastAsia="Calibri" w:hAnsi="Calibri"/>
          <w:b w:val="false"/>
          <w:bCs w:val="false"/>
        </w:rPr>
        <w:t xml:space="preserve">investigates anomalies across physical, cyber and configuration evidence with coordinated agents;</w:t>
      </w:r>
    </w:p>
    <w:p>
      <w:pPr>
        <w:pStyle w:val="ListParagraph"/>
        <w:numPr>
          <w:ilvl w:val="0"/>
          <w:numId w:val="2"/>
        </w:numPr>
        <w:spacing w:after="60" w:line="276"/>
      </w:pPr>
      <w:r>
        <w:rPr>
          <w:rFonts w:ascii="Calibri" w:cs="Calibri" w:eastAsia="Calibri" w:hAnsi="Calibri"/>
          <w:b w:val="false"/>
          <w:bCs w:val="false"/>
        </w:rPr>
        <w:t xml:space="preserve">checks component compatibility before integration;</w:t>
      </w:r>
    </w:p>
    <w:p>
      <w:pPr>
        <w:pStyle w:val="ListParagraph"/>
        <w:numPr>
          <w:ilvl w:val="0"/>
          <w:numId w:val="2"/>
        </w:numPr>
        <w:spacing w:after="60" w:line="276"/>
      </w:pPr>
      <w:r>
        <w:rPr>
          <w:rFonts w:ascii="Calibri" w:cs="Calibri" w:eastAsia="Calibri" w:hAnsi="Calibri"/>
          <w:b w:val="false"/>
          <w:bCs w:val="false"/>
        </w:rPr>
        <w:t xml:space="preserve">replays incidents and runs controlled fault scenarios reproducibly; and</w:t>
      </w:r>
    </w:p>
    <w:p>
      <w:pPr>
        <w:pStyle w:val="ListParagraph"/>
        <w:numPr>
          <w:ilvl w:val="0"/>
          <w:numId w:val="2"/>
        </w:numPr>
        <w:spacing w:after="60" w:line="276"/>
      </w:pPr>
      <w:r>
        <w:rPr>
          <w:rFonts w:ascii="Calibri" w:cs="Calibri" w:eastAsia="Calibri" w:hAnsi="Calibri"/>
          <w:b w:val="false"/>
          <w:bCs w:val="false"/>
        </w:rPr>
        <w:t xml:space="preserve">refuses to present AI conclusions as verified when the evidence or the twin is unreliable, recording every step and the human approval in a tamper-evident ledger.</w:t>
      </w:r>
    </w:p>
    <w:p>
      <w:pPr>
        <w:spacing w:after="120" w:before="100"/>
      </w:pPr>
      <w:r>
        <w:rPr>
          <w:rFonts w:ascii="Calibri" w:cs="Calibri" w:eastAsia="Calibri" w:hAnsi="Calibri"/>
          <w:b w:val="false"/>
          <w:bCs w:val="false"/>
        </w:rPr>
        <w:t xml:space="preserve">The prototype demonstrates this on a non-weapon UAS simulation and a physical sensor test bench, with measured results against the criteria in Section 7.</w:t>
      </w:r>
    </w:p>
    <w:p>
      <w:pPr>
        <w:pStyle w:val="Heading1"/>
      </w:pPr>
      <w:r>
        <w:rPr>
          <w:rFonts w:ascii="Calibri" w:cs="Calibri" w:eastAsia="Calibri" w:hAnsi="Calibri"/>
        </w:rPr>
        <w:t xml:space="preserve">9. Safety, Ethics and Scope Limits</w:t>
      </w:r>
    </w:p>
    <w:p>
      <w:pPr>
        <w:pStyle w:val="ListParagraph"/>
        <w:numPr>
          <w:ilvl w:val="0"/>
          <w:numId w:val="2"/>
        </w:numPr>
        <w:spacing w:after="60" w:line="276"/>
      </w:pPr>
      <w:r>
        <w:rPr>
          <w:rFonts w:ascii="Calibri" w:cs="Calibri" w:eastAsia="Calibri" w:hAnsi="Calibri"/>
          <w:b w:val="false"/>
          <w:bCs w:val="false"/>
        </w:rPr>
        <w:t xml:space="preserve">Non-weapon components only. No munition, warhead, fuse or targeting data or logic is used.</w:t>
      </w:r>
    </w:p>
    <w:p>
      <w:pPr>
        <w:pStyle w:val="ListParagraph"/>
        <w:numPr>
          <w:ilvl w:val="0"/>
          <w:numId w:val="2"/>
        </w:numPr>
        <w:spacing w:after="60" w:line="276"/>
      </w:pPr>
      <w:r>
        <w:rPr>
          <w:rFonts w:ascii="Calibri" w:cs="Calibri" w:eastAsia="Calibri" w:hAnsi="Calibri"/>
          <w:b w:val="false"/>
          <w:bCs w:val="false"/>
        </w:rPr>
        <w:t xml:space="preserve">Component specifications are synthetic or taken from public open-source platforms. No restricted military specification is used.</w:t>
      </w:r>
    </w:p>
    <w:p>
      <w:pPr>
        <w:pStyle w:val="ListParagraph"/>
        <w:numPr>
          <w:ilvl w:val="0"/>
          <w:numId w:val="2"/>
        </w:numPr>
        <w:spacing w:after="60" w:line="276"/>
      </w:pPr>
      <w:r>
        <w:rPr>
          <w:rFonts w:ascii="Calibri" w:cs="Calibri" w:eastAsia="Calibri" w:hAnsi="Calibri"/>
          <w:b w:val="false"/>
          <w:bCs w:val="false"/>
        </w:rPr>
        <w:t xml:space="preserve">Cyber events are simulated on an isolated test network and used only for defensive detection and investigation.</w:t>
      </w:r>
    </w:p>
    <w:p>
      <w:pPr>
        <w:pStyle w:val="ListParagraph"/>
        <w:numPr>
          <w:ilvl w:val="0"/>
          <w:numId w:val="2"/>
        </w:numPr>
        <w:spacing w:after="60" w:line="276"/>
      </w:pPr>
      <w:r>
        <w:rPr>
          <w:rFonts w:ascii="Calibri" w:cs="Calibri" w:eastAsia="Calibri" w:hAnsi="Calibri"/>
          <w:b w:val="false"/>
          <w:bCs w:val="false"/>
        </w:rPr>
        <w:t xml:space="preserve">AI recommendations are advisory. Safety-critical decisions and physical modifications need authorised human approval.</w:t>
      </w:r>
    </w:p>
    <w:p>
      <w:pPr>
        <w:pStyle w:val="ListParagraph"/>
        <w:numPr>
          <w:ilvl w:val="0"/>
          <w:numId w:val="2"/>
        </w:numPr>
        <w:spacing w:after="60" w:line="276"/>
      </w:pPr>
      <w:r>
        <w:rPr>
          <w:rFonts w:ascii="Calibri" w:cs="Calibri" w:eastAsia="Calibri" w:hAnsi="Calibri"/>
          <w:b w:val="false"/>
          <w:bCs w:val="false"/>
        </w:rPr>
        <w:t xml:space="preserve">The system reports uncertainty and insufficient evidence instead of forcing a conclusion.</w:t>
      </w:r>
    </w:p>
    <w:p>
      <w:pPr>
        <w:pStyle w:val="Heading1"/>
      </w:pPr>
      <w:r>
        <w:rPr>
          <w:rFonts w:ascii="Calibri" w:cs="Calibri" w:eastAsia="Calibri" w:hAnsi="Calibri"/>
        </w:rPr>
        <w:t xml:space="preserve">References</w:t>
      </w:r>
    </w:p>
    <w:p>
      <w:pPr>
        <w:spacing w:after="70"/>
        <w:ind w:left="360" w:hanging="360"/>
      </w:pPr>
      <w:r>
        <w:rPr>
          <w:rFonts w:ascii="Calibri" w:cs="Calibri" w:eastAsia="Calibri" w:hAnsi="Calibri"/>
          <w:sz w:val="19"/>
          <w:szCs w:val="19"/>
        </w:rPr>
        <w:t xml:space="preserve">[1] NIST. Credibility Consideration for Digital Twins in Manufacturing. Manufacturing Letters, 2022. https://www.nist.gov/publications/credibility-consideration-digital-twins-manufacturing</w:t>
      </w:r>
    </w:p>
    <w:p>
      <w:pPr>
        <w:spacing w:after="70"/>
        <w:ind w:left="360" w:hanging="360"/>
      </w:pPr>
      <w:r>
        <w:rPr>
          <w:rFonts w:ascii="Calibri" w:cs="Calibri" w:eastAsia="Calibri" w:hAnsi="Calibri"/>
          <w:sz w:val="19"/>
          <w:szCs w:val="19"/>
        </w:rPr>
        <w:t xml:space="preserve">[2] National Academies of Sciences, Engineering, and Medicine. Unlocking the Promise of Digital Twins (summary of the 2023 report Foundational Research Gaps and Future Directions for Digital Twins), 2024. https://www.nationalacademies.org/news/2024/06/unlocking-the-promise-of-digital-twins</w:t>
      </w:r>
    </w:p>
    <w:p>
      <w:pPr>
        <w:spacing w:after="70"/>
        <w:ind w:left="360" w:hanging="360"/>
      </w:pPr>
      <w:r>
        <w:rPr>
          <w:rFonts w:ascii="Calibri" w:cs="Calibri" w:eastAsia="Calibri" w:hAnsi="Calibri"/>
          <w:sz w:val="19"/>
          <w:szCs w:val="19"/>
        </w:rPr>
        <w:t xml:space="preserve">[3] Auburn University. Building Trust in Digital Twins Through Verification and Validation (electronic thesis). https://etd.auburn.edu/handle/10415/9831</w:t>
      </w:r>
    </w:p>
    <w:p>
      <w:pPr>
        <w:spacing w:after="70"/>
        <w:ind w:left="360" w:hanging="360"/>
      </w:pPr>
      <w:r>
        <w:rPr>
          <w:rFonts w:ascii="Calibri" w:cs="Calibri" w:eastAsia="Calibri" w:hAnsi="Calibri"/>
          <w:sz w:val="19"/>
          <w:szCs w:val="19"/>
        </w:rPr>
        <w:t xml:space="preserve">[4] Fraser, B., Al-Rubaye, S., Aslam, S., Tsourdos, A. Enhancing the security of unmanned aerial systems using digital-twin technology and intrusion detection. AIAA/IEEE DASC, 2021. https://dspace.lib.cranfield.ac.uk/handle/1826/17326</w:t>
      </w:r>
    </w:p>
    <w:p>
      <w:pPr>
        <w:spacing w:after="70"/>
        <w:ind w:left="360" w:hanging="360"/>
      </w:pPr>
      <w:r>
        <w:rPr>
          <w:rFonts w:ascii="Calibri" w:cs="Calibri" w:eastAsia="Calibri" w:hAnsi="Calibri"/>
          <w:sz w:val="19"/>
          <w:szCs w:val="19"/>
        </w:rPr>
        <w:t xml:space="preserve">[5] Ferrão, I. et al. Detecting Spoofing and GPS Jamming in UAVs: Multiclass Approach to Attack Diagnosis. HICSS-57, 2024. https://hdl.handle.net/10125/106440</w:t>
      </w:r>
    </w:p>
    <w:p>
      <w:pPr>
        <w:spacing w:after="70"/>
        <w:ind w:left="360" w:hanging="360"/>
      </w:pPr>
      <w:r>
        <w:rPr>
          <w:rFonts w:ascii="Calibri" w:cs="Calibri" w:eastAsia="Calibri" w:hAnsi="Calibri"/>
          <w:sz w:val="19"/>
          <w:szCs w:val="19"/>
        </w:rPr>
        <w:t xml:space="preserve">[6] A Self-Diagnosis Method for Detecting UAV Cyber Attacks Based on Analysis of Parameter Changes. https://www.ncbi.nlm.nih.gov/pmc/articles/PMC7828266/</w:t>
      </w:r>
    </w:p>
    <w:p>
      <w:pPr>
        <w:spacing w:after="70"/>
        <w:ind w:left="360" w:hanging="360"/>
      </w:pPr>
      <w:r>
        <w:rPr>
          <w:rFonts w:ascii="Calibri" w:cs="Calibri" w:eastAsia="Calibri" w:hAnsi="Calibri"/>
          <w:sz w:val="19"/>
          <w:szCs w:val="19"/>
        </w:rPr>
        <w:t xml:space="preserve">[7] PX4 Autopilot documentation. System-wide Replay. https://docs.px4.io/main/en/debug/system_wide_replay</w:t>
      </w:r>
    </w:p>
    <w:p>
      <w:pPr>
        <w:spacing w:after="70"/>
        <w:ind w:left="360" w:hanging="360"/>
      </w:pPr>
      <w:r>
        <w:rPr>
          <w:rFonts w:ascii="Calibri" w:cs="Calibri" w:eastAsia="Calibri" w:hAnsi="Calibri"/>
          <w:sz w:val="19"/>
          <w:szCs w:val="19"/>
        </w:rPr>
        <w:t xml:space="preserve">[8] U.S. Army. Army UAS Interoperability, https://www.army.mil/article/293795, and JSIL UAS Interoperability Test Tool Catalog, https://www.army.mil/article/293792</w:t>
      </w:r>
    </w:p>
    <w:p>
      <w:pPr>
        <w:spacing w:after="70"/>
        <w:ind w:left="360" w:hanging="360"/>
      </w:pPr>
      <w:r>
        <w:rPr>
          <w:rFonts w:ascii="Calibri" w:cs="Calibri" w:eastAsia="Calibri" w:hAnsi="Calibri"/>
          <w:sz w:val="19"/>
          <w:szCs w:val="19"/>
        </w:rPr>
        <w:t xml:space="preserve">[9] Roy, D. et al. Exploring LLM-based Agents for Root Cause Analysis. FSE 2024. https://arxiv.org/abs/2403.04123</w:t>
      </w:r>
    </w:p>
    <w:p>
      <w:pPr>
        <w:spacing w:after="70"/>
        <w:ind w:left="360" w:hanging="360"/>
      </w:pPr>
      <w:r>
        <w:rPr>
          <w:rFonts w:ascii="Calibri" w:cs="Calibri" w:eastAsia="Calibri" w:hAnsi="Calibri"/>
          <w:sz w:val="19"/>
          <w:szCs w:val="19"/>
        </w:rPr>
        <w:t xml:space="preserve">[10] From Agent Traces to Trust: A Survey of Evidence Tracing and Execution Provenance in LLM Agents. arXiv:2606.04990. Listing: https://www.emergentmind.com/papers/2606.04990</w:t>
      </w:r>
    </w:p>
    <w:p>
      <w:pPr>
        <w:spacing w:before="120"/>
      </w:pPr>
      <w:r>
        <w:rPr>
          <w:rFonts w:ascii="Calibri" w:cs="Calibri" w:eastAsia="Calibri" w:hAnsi="Calibri"/>
          <w:b w:val="false"/>
          <w:bCs w:val="false"/>
        </w:rPr>
        <w:t xml:space="preserve">Sources were retrieved on 21 October 2026 and described from their abstracts and summaries. Read each source in full, and check the arXiv record for [10], before presenting details from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TwinGuard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TwinGuard Project Document</dc:title>
  <dc:creator>TwinGuard team</dc:creator>
  <cp:lastModifiedBy>Un-named</cp:lastModifiedBy>
  <cp:revision>1</cp:revision>
  <dcterms:created xsi:type="dcterms:W3CDTF">2026-10-21T04:05:31.894Z</dcterms:created>
  <dcterms:modified xsi:type="dcterms:W3CDTF">2026-10-21T04:05:31.895Z</dcterms:modified>
</cp:coreProperties>
</file>

<file path=docProps/custom.xml><?xml version="1.0" encoding="utf-8"?>
<Properties xmlns="http://schemas.openxmlformats.org/officeDocument/2006/custom-properties" xmlns:vt="http://schemas.openxmlformats.org/officeDocument/2006/docPropsVTypes"/>
</file>