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77777777" w:rsidR="00D45F76" w:rsidRDefault="00D45F76" w:rsidP="00D45F76">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03777EBF"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0800 011 4787</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067B2FC8" w14:textId="7D47DD64" w:rsidR="005247F3" w:rsidRPr="005247F3" w:rsidRDefault="002A7DF7" w:rsidP="000D4D78">
      <w:pPr>
        <w:spacing w:line="240" w:lineRule="auto"/>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0D4D78">
      <w:pPr>
        <w:spacing w:line="240" w:lineRule="auto"/>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0D4D78">
      <w:pPr>
        <w:spacing w:line="240" w:lineRule="auto"/>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0D4D7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0D4D78">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4D78">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4D7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4D7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0D4D78">
      <w:pPr>
        <w:shd w:val="clear" w:color="auto" w:fill="FFFFFF"/>
        <w:spacing w:line="240" w:lineRule="auto"/>
        <w:rPr>
          <w:rFonts w:ascii="Open Sans Light" w:hAnsi="Open Sans Light"/>
          <w:color w:val="666666"/>
        </w:rPr>
      </w:pPr>
    </w:p>
    <w:p w14:paraId="5B43B36E" w14:textId="77777777" w:rsidR="00CC6FC6" w:rsidRDefault="00CC6FC6" w:rsidP="000D4D78">
      <w:pPr>
        <w:shd w:val="clear" w:color="auto" w:fill="FFFFFF"/>
        <w:spacing w:line="240" w:lineRule="auto"/>
        <w:rPr>
          <w:rFonts w:ascii="Open Sans Light" w:hAnsi="Open Sans Light"/>
          <w:color w:val="666666"/>
        </w:rPr>
      </w:pPr>
    </w:p>
    <w:p w14:paraId="4F476D95" w14:textId="77777777" w:rsidR="00CC6FC6" w:rsidRDefault="00CC6FC6" w:rsidP="000D4D78">
      <w:pPr>
        <w:shd w:val="clear" w:color="auto" w:fill="FFFFFF"/>
        <w:spacing w:line="240" w:lineRule="auto"/>
        <w:rPr>
          <w:rFonts w:ascii="Open Sans Light" w:hAnsi="Open Sans Light"/>
          <w:color w:val="666666"/>
        </w:rPr>
      </w:pPr>
    </w:p>
    <w:p w14:paraId="0CF83A36" w14:textId="2AB8E336"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0D4D78">
      <w:pPr>
        <w:shd w:val="clear" w:color="auto" w:fill="FFFFFF"/>
        <w:spacing w:line="240" w:lineRule="auto"/>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0D4D78">
            <w:pPr>
              <w:spacing w:line="240" w:lineRule="auto"/>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0D4D78">
            <w:pPr>
              <w:spacing w:line="240" w:lineRule="auto"/>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0D4D78">
      <w:pPr>
        <w:shd w:val="clear" w:color="auto" w:fill="FFFFFF"/>
        <w:spacing w:line="240" w:lineRule="auto"/>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6E6EDAF7" w:rsidR="002A7DF7" w:rsidRPr="002A7DF7" w:rsidRDefault="00557BCB" w:rsidP="000D4D78">
      <w:pPr>
        <w:shd w:val="clear" w:color="auto" w:fill="FFFFFF"/>
        <w:spacing w:line="240" w:lineRule="auto"/>
        <w:rPr>
          <w:rFonts w:ascii="Open Sans Light" w:eastAsia="Times New Roman" w:hAnsi="Open Sans Light"/>
          <w:color w:val="666666"/>
          <w:szCs w:val="20"/>
          <w:lang w:eastAsia="en-GB"/>
        </w:rPr>
      </w:pPr>
      <w:r>
        <w:rPr>
          <w:rFonts w:ascii="Open Sans Light" w:eastAsia="Times New Roman" w:hAnsi="Open Sans Light"/>
          <w:color w:val="666666"/>
          <w:szCs w:val="20"/>
          <w:lang w:eastAsia="en-GB"/>
        </w:rPr>
        <w:t>EZBob</w:t>
      </w:r>
      <w:r w:rsidR="002A7DF7" w:rsidRPr="002A7DF7">
        <w:rPr>
          <w:rFonts w:ascii="Open Sans Light" w:eastAsia="Times New Roman" w:hAnsi="Open Sans Light"/>
          <w:color w:val="666666"/>
          <w:szCs w:val="20"/>
          <w:lang w:eastAsia="en-GB"/>
        </w:rPr>
        <w:t xml:space="preserve"> Ltd</w:t>
      </w:r>
      <w:r w:rsidR="00CE6985">
        <w:rPr>
          <w:rFonts w:ascii="Open Sans Light" w:eastAsia="Times New Roman" w:hAnsi="Open Sans Light"/>
          <w:color w:val="666666"/>
          <w:szCs w:val="20"/>
          <w:lang w:eastAsia="en-GB"/>
        </w:rPr>
        <w:t xml:space="preserve">. </w:t>
      </w:r>
      <w:r w:rsidR="00CE6985">
        <w:rPr>
          <w:rFonts w:ascii="Open Sans Light" w:hAnsi="Open Sans Light"/>
          <w:color w:val="666666"/>
        </w:rPr>
        <w:t>(for</w:t>
      </w:r>
      <w:bookmarkStart w:id="0" w:name="_GoBack"/>
      <w:bookmarkEnd w:id="0"/>
      <w:r w:rsidR="00CE6985">
        <w:rPr>
          <w:rFonts w:ascii="Open Sans Light" w:hAnsi="Open Sans Light"/>
          <w:color w:val="666666"/>
        </w:rPr>
        <w:t>merly known as Orange Money Ltd.)</w:t>
      </w:r>
    </w:p>
    <w:p w14:paraId="17D53FD9" w14:textId="77777777" w:rsidR="00FC719D" w:rsidRPr="0095451D" w:rsidRDefault="00FC719D" w:rsidP="000D4D7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D3CF2" w14:textId="77777777" w:rsidR="00BA3ECA" w:rsidRDefault="00BA3ECA" w:rsidP="00607FD3">
      <w:pPr>
        <w:spacing w:before="0" w:after="0" w:line="240" w:lineRule="auto"/>
      </w:pPr>
      <w:r>
        <w:separator/>
      </w:r>
    </w:p>
  </w:endnote>
  <w:endnote w:type="continuationSeparator" w:id="0">
    <w:p w14:paraId="64DF4C14" w14:textId="77777777" w:rsidR="00BA3ECA" w:rsidRDefault="00BA3ECA"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8797A" w14:textId="77777777" w:rsidR="00BA3ECA" w:rsidRDefault="00BA3ECA" w:rsidP="00607FD3">
      <w:pPr>
        <w:spacing w:before="0" w:after="0" w:line="240" w:lineRule="auto"/>
      </w:pPr>
      <w:r>
        <w:separator/>
      </w:r>
    </w:p>
  </w:footnote>
  <w:footnote w:type="continuationSeparator" w:id="0">
    <w:p w14:paraId="73D53576" w14:textId="77777777" w:rsidR="00BA3ECA" w:rsidRDefault="00BA3ECA"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0D4D78"/>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B6A69"/>
    <w:rsid w:val="008C5336"/>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A3ECA"/>
    <w:rsid w:val="00BD1584"/>
    <w:rsid w:val="00BE2B8A"/>
    <w:rsid w:val="00BF708A"/>
    <w:rsid w:val="00C1515E"/>
    <w:rsid w:val="00C4038B"/>
    <w:rsid w:val="00C4447C"/>
    <w:rsid w:val="00C459FB"/>
    <w:rsid w:val="00C52D65"/>
    <w:rsid w:val="00C614C6"/>
    <w:rsid w:val="00C840AA"/>
    <w:rsid w:val="00C84E59"/>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AB38C-1554-4D56-8EBF-4AA1335F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16</cp:revision>
  <cp:lastPrinted>2014-07-01T10:08:00Z</cp:lastPrinted>
  <dcterms:created xsi:type="dcterms:W3CDTF">2015-07-23T16:26:00Z</dcterms:created>
  <dcterms:modified xsi:type="dcterms:W3CDTF">2015-10-13T11:38:00Z</dcterms:modified>
</cp:coreProperties>
</file>