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2B5B"/>
          <w:sz w:val="44"/>
        </w:rPr>
        <w:t>AI Agent Team — Sprint 1 Retrospective</w:t>
      </w:r>
    </w:p>
    <w:p>
      <w:pPr>
        <w:jc w:val="center"/>
      </w:pPr>
      <w:r>
        <w:rPr>
          <w:b/>
          <w:i w:val="0"/>
          <w:color w:val="B88600"/>
          <w:sz w:val="26"/>
        </w:rPr>
        <w:t>river_fish — Column-Level Data Lineage Prototype</w:t>
      </w:r>
    </w:p>
    <w:p>
      <w:pPr>
        <w:jc w:val="center"/>
      </w:pPr>
      <w:r>
        <w:rPr>
          <w:b w:val="0"/>
          <w:i w:val="0"/>
          <w:color w:val="555555"/>
          <w:sz w:val="20"/>
        </w:rPr>
        <w:t>Prepared for Technology Executive / Stakeholder Review   ·   25 Jun 2026</w:t>
      </w:r>
    </w:p>
    <w:p>
      <w:pPr>
        <w:jc w:val="center"/>
      </w:pPr>
      <w:r>
        <w:rPr>
          <w:b w:val="0"/>
          <w:i/>
          <w:color w:val="555555"/>
          <w:sz w:val="20"/>
        </w:rPr>
        <w:t>ONE team — human product owner + AI orchestrator + specialist AI agents, on agile cadence</w:t>
      </w:r>
    </w:p>
    <w:p/>
    <w:p>
      <w:pPr>
        <w:spacing w:before="200" w:after="80"/>
      </w:pPr>
      <w:r>
        <w:rPr>
          <w:b/>
          <w:i w:val="0"/>
          <w:color w:val="002B5B"/>
          <w:sz w:val="30"/>
        </w:rPr>
        <w:t>1.  Executive Summary</w:t>
      </w:r>
    </w:p>
    <w:p>
      <w:pPr>
        <w:spacing w:after="80"/>
      </w:pPr>
      <w:r>
        <w:rPr>
          <w:b w:val="0"/>
          <w:i w:val="0"/>
          <w:sz w:val="21"/>
        </w:rPr>
        <w:t>The river_fish prototype — a deterministic, audit-grade column-level data-lineage engine for a multi-source banking pipeline, with a governed LLM explanation layer and a natural-language interface — was built using a small team of specialised AI agents working in parallel under a human product owner and an AI orchestrator. The team ran on an agile cadence: stories, an interim QA gate, and this retrospective.</w:t>
      </w:r>
    </w:p>
    <w:p>
      <w:pPr>
        <w:spacing w:after="80"/>
      </w:pPr>
      <w:r>
        <w:rPr>
          <w:b w:val="0"/>
          <w:i w:val="0"/>
          <w:sz w:val="21"/>
        </w:rPr>
        <w:t>This document records each agent's candid retro feedback — what worked, what created friction, and the risks they raised — alongside a cross-cutting synthesis and an executive view of why the method matters. It is intended for reuse in stakeholder and leadership presentations.</w:t>
      </w:r>
    </w:p>
    <w:p>
      <w:pPr>
        <w:spacing w:after="80"/>
      </w:pPr>
      <w:r>
        <w:rPr>
          <w:b w:val="0"/>
          <w:i w:val="0"/>
          <w:sz w:val="21"/>
        </w:rPr>
        <w:t>Headline outcome: P1 hardening, the LLM explanation layer (M3), the natural-language interface (M4), two cited market/learning documents, live public market-data ingestion, and an 18,742-row synthetic multi-source dataset — delivered in a single working session with the parallel agent team, with the core regression suite green (18/18) throughout.</w:t>
      </w:r>
    </w:p>
    <w:p>
      <w:pPr>
        <w:spacing w:before="200" w:after="80"/>
      </w:pPr>
      <w:r>
        <w:rPr>
          <w:b/>
          <w:i w:val="0"/>
          <w:color w:val="002B5B"/>
          <w:sz w:val="30"/>
        </w:rPr>
        <w:t>2.  The Agent Team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  <w:color w:val="002B5B"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color w:val="002B5B"/>
                <w:sz w:val="20"/>
              </w:rPr>
              <w:t>Owns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color w:val="002B5B"/>
                <w:sz w:val="20"/>
              </w:rPr>
              <w:t>Surface (no collisions)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9"/>
              </w:rPr>
              <w:t>Product owner (human)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Vision, scope, sign-off, governance, credentials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Decisions — not files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9"/>
              </w:rPr>
              <w:t>Orchestrator (lead AI)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Architecture, integration, M4 NL interface, git, QA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lineage.py, nl.py, schema validation, all commits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9"/>
              </w:rPr>
              <w:t>Data Generator agent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Synthetic multi-source data + DuckDB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generate_data.py, sql_extended/, schema.py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9"/>
              </w:rPr>
              <w:t>Research / Docs agent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Market &amp; learning documentation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MARKET_AND_FUTURE.md, LEARNING_LINEAGE.md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  <w:sz w:val="19"/>
              </w:rPr>
              <w:t>Reg-RAG UI agent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Streamlit UI + deploy (sister project)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9"/>
              </w:rPr>
              <w:t>reg_rag_assistant/* (separate dir)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</w:r>
    </w:p>
    <w:p>
      <w:pPr>
        <w:pStyle w:val="ListBullet"/>
        <w:spacing w:after="40"/>
      </w:pPr>
      <w:r>
        <w:rPr>
          <w:b w:val="0"/>
          <w:i w:val="0"/>
          <w:color w:val="555555"/>
          <w:sz w:val="19"/>
        </w:rPr>
        <w:t>Work was partitioned by file surface so agents ran truly in parallel; only the orchestrator commits the shared repository, eliminating git collisions.</w:t>
      </w:r>
    </w:p>
    <w:p>
      <w:pPr>
        <w:spacing w:before="200" w:after="80"/>
      </w:pPr>
      <w:r>
        <w:rPr>
          <w:b/>
          <w:i w:val="0"/>
          <w:color w:val="002B5B"/>
          <w:sz w:val="30"/>
        </w:rPr>
        <w:t>3.  Sprint 1 Outcomes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Stories closed: research, M1/M2 lineage engine, QA checkpoint, P1 hardening, M3 explanation, M4 NL interface.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Quality: core regression suite 18/18 green throughout; one HIGH defect caught by QA before the NL layer depended on it.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Live data: 9/9 public market symbols ingested fresh (FX, UST yields, VIX, equity indices).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Synthetic data: 18,742 rows across 15 tables / 11 source systems; one lineage path runs real market feed → synthetic exposure → derived risk number.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Governance: synthetic-vs-real data boundary preserved across every agent; lineage engine reads SQL text only; no data rows enter any LLM prompt.</w:t>
      </w:r>
    </w:p>
    <w:p>
      <w:pPr>
        <w:spacing w:before="200" w:after="80"/>
      </w:pPr>
      <w:r>
        <w:rPr>
          <w:b/>
          <w:i w:val="0"/>
          <w:color w:val="002B5B"/>
          <w:sz w:val="30"/>
        </w:rPr>
        <w:t>4.  Agent Retrospective Voices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Each specialist agent was asked the same four questions. Responses are recorded faithfully.</w:t>
      </w:r>
    </w:p>
    <w:p>
      <w:pPr>
        <w:spacing w:before="160" w:after="40"/>
      </w:pPr>
      <w:r>
        <w:rPr>
          <w:b/>
          <w:i w:val="0"/>
          <w:color w:val="B88600"/>
          <w:sz w:val="25"/>
        </w:rPr>
        <w:t>Data Generator agent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Scope: Synthetic multi-source banking data + DuckDB warehouse + sql_extended/ transforms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Output: 18,742 rows · 15 tables · 11 source systems · KNOWN_SCHEMA 9→34 tables · core tests 18/18 green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What went well: </w:t>
      </w:r>
      <w:r>
        <w:rPr>
          <w:b w:val="0"/>
          <w:i w:val="0"/>
          <w:sz w:val="21"/>
        </w:rPr>
        <w:t>The existing pipeline contract was unusually clean to build against — explicit column lists in every sql/*.sql, a schema.py catalog already in place, and a test suite asserting exact graph shape (54/49/18). That allowed confident extension: all new transforms went in sql_extended/ so the core lineage glob never saw them, and the core tests stayed 18/18 green on the first run. Seeded determinism (SEED=42) and the FX join-key design (synthetic currency → real market spot rate → derived INR exposure) both landed first try.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Friction: </w:t>
      </w:r>
      <w:r>
        <w:rPr>
          <w:b w:val="0"/>
          <w:i w:val="0"/>
          <w:sz w:val="21"/>
        </w:rPr>
        <w:t>The main tension: the brief said 'register every new table in KNOWN_SCHEMA', but three source tables already existed there with their original columns. Editing the originals risked touching a contract the tests depend on; appending fresh entries was safer — the brief didn't specify which. Secondary: gap_analysis.py only globs sql/*.sql, so the ~35% intentionally-unconsumed columns in the extended systems don't surface in its report, though the brief implied they would.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What would have helped: </w:t>
      </w:r>
      <w:r>
        <w:rPr>
          <w:b w:val="0"/>
          <w:i w:val="0"/>
          <w:sz w:val="21"/>
        </w:rPr>
        <w:t>A one-line note on how KNOWN_SCHEMA should handle already-existing tables (extend-in-place vs. append) would have removed the judgment call. Also a stated decision on whether gap_analysis.py should be pointed at sql_extended/ too — right now the richest gap findings are invisible to the tool meant to report them.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Risk flagged: </w:t>
      </w:r>
      <w:r>
        <w:rPr>
          <w:b w:val="0"/>
          <w:i w:val="0"/>
          <w:sz w:val="21"/>
        </w:rPr>
        <w:t>Duplicate-key entries were appended for the three active source tables into KNOWN_SCHEMA rather than merged. Python keeps the last definition, so the extended supersets win — tests pass and behaviour is correct today — but a duplicate literal key is a latent foot-gun: it reads as an accident, and editing the first (now-dead) entry would silently have no effect. Recommend the orchestrator merge each pair before committing. Two smaller follow-ups: widen gap_analysis.py's glob if extended-system gaps should show; and the FX rate depends on a live fetch, so on an offline demo machine it falls back to 1.0 and INR exposure silently equals local exposure — worth a visible 'STALE' caption if shown on stage. Governance and referential integrity are clean: zero PII, synthetic markers throughout, every counterparty_id resolves to the master spine.</w:t>
      </w:r>
    </w:p>
    <w:p>
      <w:pPr>
        <w:spacing w:before="160" w:after="40"/>
      </w:pPr>
      <w:r>
        <w:rPr>
          <w:b/>
          <w:i w:val="0"/>
          <w:color w:val="B88600"/>
          <w:sz w:val="25"/>
        </w:rPr>
        <w:t>Research / Docs agent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Scope: Market &amp; future-of-data synthesis + learning/interview notes (MARKET_AND_FUTURE.md, LEARNING_LINEAGE.md)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Output: 2 cited docs · ~24 web-verified sources · directional claims explicitly labelled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What went well: </w:t>
      </w:r>
      <w:r>
        <w:rPr>
          <w:b w:val="0"/>
          <w:i w:val="0"/>
          <w:sz w:val="21"/>
        </w:rPr>
        <w:t>The read-first briefing was the right call — reading the eight source files cold gave the exact internal vocabulary (the find_node bug, the deterministic/LLM split, the market-data governance boundary), so the docs cite the repo accurately rather than generically. Web verification was high-yield: nearly every market claim resolved to a primary or near-primary source, including the Spider 2.0 ICLR numbers and Snowflake's 'nothing leaves the governance boundary' language verbatim.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Friction: </w:t>
      </w:r>
      <w:r>
        <w:rPr>
          <w:b w:val="0"/>
          <w:i w:val="0"/>
          <w:sz w:val="21"/>
        </w:rPr>
        <w:t>Primary analyst sources are paywalled — Gartner Magic Quadrant placements and the consolidation forecast only surfaced via vendor blogs (Atlan, Ataccama) that have an incentive to frame the quadrant favourably. Market-size figures also conflicted across segment definitions (column-level lineage vs lineage-automation vs lineage-as-a-service are three different numbers); each was labelled by segment rather than blended.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What would have helped: </w:t>
      </w:r>
      <w:r>
        <w:rPr>
          <w:b w:val="0"/>
          <w:i w:val="0"/>
          <w:sz w:val="21"/>
        </w:rPr>
        <w:t>The brief was unusually clear — no real gap. The one accelerator would have been a stated 'as-of' date convention up front, since 2025-dated sources were being reconciled against a June-2026 'today'; claims were dated inline instead.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Risk flagged: </w:t>
      </w:r>
      <w:r>
        <w:rPr>
          <w:b w:val="0"/>
          <w:i w:val="0"/>
          <w:sz w:val="21"/>
        </w:rPr>
        <w:t>Vendor and regulatory claims age fast — Gartner positions, Alation/Atlan product names, and MCP's governance-foundation status will likely shift within 6–12 months; re-verify before any high-stakes interview. The two 'directional' items rest on vendor-blog secondary sources — state them as 'analysts suggest', not 'Gartner says', unless the primary document is pulled first.</w:t>
      </w:r>
    </w:p>
    <w:p>
      <w:pPr>
        <w:spacing w:before="160" w:after="40"/>
      </w:pPr>
      <w:r>
        <w:rPr>
          <w:b/>
          <w:i w:val="0"/>
          <w:color w:val="B88600"/>
          <w:sz w:val="25"/>
        </w:rPr>
        <w:t>Reg-RAG UI agent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Scope: Streamlit UI + HuggingFace deploy prep for the sister Regulatory-RAG project</w:t>
      </w:r>
    </w:p>
    <w:p>
      <w:pPr>
        <w:spacing w:after="80"/>
      </w:pPr>
      <w:r>
        <w:rPr>
          <w:b w:val="0"/>
          <w:i w:val="0"/>
          <w:color w:val="555555"/>
          <w:sz w:val="19"/>
        </w:rPr>
        <w:t>Output: app.py (3 tabs) · HF front-matter · DEPLOY_HF.md · rag.py imported, not modified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What went well: </w:t>
      </w:r>
      <w:r>
        <w:rPr>
          <w:b w:val="0"/>
          <w:i w:val="0"/>
          <w:sz w:val="21"/>
        </w:rPr>
        <w:t>Clean briefing meant zero rework. 'Read rag.py/ask.py first and import-don't-modify' kept the UI a thin layer over the existing pipeline; the venv and corpus were both present, so the task was unblocked end to end. The Streamlit 1.41 / use_container_width constraint was called out explicitly, which removed the one easy way to ship a broken Space.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Friction: </w:t>
      </w:r>
      <w:r>
        <w:rPr>
          <w:b w:val="0"/>
          <w:i w:val="0"/>
          <w:sz w:val="21"/>
        </w:rPr>
        <w:t>Minimal. A small ambiguity on the 'Corpus' tab: the index doesn't expose a per-document chunk map, so chunk_text() was re-run in the UI to list chunks — deterministic (same logic), but it means chunking runs twice. No environment or access friction.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What would have helped: </w:t>
      </w:r>
      <w:r>
        <w:rPr>
          <w:b w:val="0"/>
          <w:i w:val="0"/>
          <w:sz w:val="21"/>
        </w:rPr>
        <w:t>A one-line note on whether to rewrite requirements.txt vs. make a minimal edit would have saved a judgment call (minimal was chosen). For larger sprints, telling specialists which files are theirs vs. shared up front would prevent edit collisions — not an issue here as the UI files were net-new.</w:t>
      </w:r>
    </w:p>
    <w:p>
      <w:pPr>
        <w:pStyle w:val="ListBullet"/>
        <w:spacing w:after="40"/>
      </w:pPr>
      <w:r>
        <w:rPr>
          <w:b/>
          <w:i w:val="0"/>
          <w:color w:val="002B5B"/>
          <w:sz w:val="21"/>
        </w:rPr>
        <w:t xml:space="preserve">Risk flagged: </w:t>
      </w:r>
      <w:r>
        <w:rPr>
          <w:b w:val="0"/>
          <w:i w:val="0"/>
          <w:sz w:val="21"/>
        </w:rPr>
        <w:t>Secret handling on a public Space. The $0 fallback is safe, but if ANTHROPIC_API_KEY is added as a Space secret on a PUBLIC Space, anyone can run queries and spend the key — no auth, no rate limit. Keep the public demo key-less ($0 mode), or gate LLM mode behind a private Space / usage cap. Secondary: confirm the corpus is copied into the Space repo on deploy.</w:t>
      </w:r>
    </w:p>
    <w:p>
      <w:pPr>
        <w:spacing w:before="200" w:after="80"/>
      </w:pPr>
      <w:r>
        <w:rPr>
          <w:b/>
          <w:i w:val="0"/>
          <w:color w:val="002B5B"/>
          <w:sz w:val="30"/>
        </w:rPr>
        <w:t>5.  Cross-Cutting Themes</w:t>
      </w:r>
    </w:p>
    <w:p>
      <w:pPr>
        <w:spacing w:before="120" w:after="40"/>
      </w:pPr>
      <w:r>
        <w:rPr>
          <w:b/>
          <w:i w:val="0"/>
          <w:color w:val="002B5B"/>
          <w:sz w:val="23"/>
        </w:rPr>
        <w:t>What went well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Read-first briefs (a mandatory STEP 0) produced near-zero rework — every agent grounded itself in the actual code before acting.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Explicit constraints up front prevented broken output — e.g. the Streamlit 1.41 compatibility rule and the synthetic-vs-real data governance boundary were stated, not assumed.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File-surface partitioning (each agent owns distinct files; only the orchestrator commits the shared repo) meant true parallelism with no edit collisions.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The environment was ready (venvs, corpus, live data) so agents were unblocked end to end.</w:t>
      </w:r>
    </w:p>
    <w:p>
      <w:pPr>
        <w:spacing w:before="120" w:after="40"/>
      </w:pPr>
      <w:r>
        <w:rPr>
          <w:b/>
          <w:i w:val="0"/>
          <w:color w:val="002B5B"/>
          <w:sz w:val="23"/>
        </w:rPr>
        <w:t>Friction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Small unstated judgment calls (rewrite vs. minimal edit; an 'as-of' date convention; schema duplicate-key append vs. merge) — each minor, but each cost a decision.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Primary analyst sources (Gartner) are paywalled; some market claims rest on vendor-blog secondaries.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A couple of deterministic-but-duplicated computations (chunking re-run for display) — harmless, worth knowing.</w:t>
      </w:r>
    </w:p>
    <w:p>
      <w:pPr>
        <w:spacing w:before="120" w:after="40"/>
      </w:pPr>
      <w:r>
        <w:rPr>
          <w:b/>
          <w:i w:val="0"/>
          <w:color w:val="B00000"/>
          <w:sz w:val="23"/>
        </w:rPr>
        <w:t>Risks to note</w:t>
      </w:r>
    </w:p>
    <w:p>
      <w:pPr>
        <w:pStyle w:val="ListBullet"/>
        <w:spacing w:after="40"/>
      </w:pPr>
      <w:r>
        <w:rPr>
          <w:b w:val="0"/>
          <w:i w:val="0"/>
          <w:color w:val="B00000"/>
          <w:sz w:val="21"/>
        </w:rPr>
        <w:t>SECURITY: a public demo Space with an API key set lets anyone spend the key — keep public demos $0 / key-less, or gate paid mode behind a private Space with a cap.</w:t>
      </w:r>
    </w:p>
    <w:p>
      <w:pPr>
        <w:pStyle w:val="ListBullet"/>
        <w:spacing w:after="40"/>
      </w:pPr>
      <w:r>
        <w:rPr>
          <w:b w:val="0"/>
          <w:i w:val="0"/>
          <w:color w:val="B00000"/>
          <w:sz w:val="21"/>
        </w:rPr>
        <w:t>Market/regulatory claims age fast — re-verify vendor and Gartner positions before high-stakes use.</w:t>
      </w:r>
    </w:p>
    <w:p>
      <w:pPr>
        <w:pStyle w:val="ListBullet"/>
        <w:spacing w:after="40"/>
      </w:pPr>
      <w:r>
        <w:rPr>
          <w:b w:val="0"/>
          <w:i w:val="0"/>
          <w:color w:val="B00000"/>
          <w:sz w:val="21"/>
        </w:rPr>
        <w:t>Schema hygiene: duplicate-key entries appended to KNOWN_SCHEMA should be merged into single entries (harmless today — last value wins — but a reviewer will flag it).</w:t>
      </w:r>
    </w:p>
    <w:p>
      <w:pPr>
        <w:spacing w:before="120" w:after="40"/>
      </w:pPr>
      <w:r>
        <w:rPr>
          <w:b/>
          <w:i w:val="0"/>
          <w:color w:val="002B5B"/>
          <w:sz w:val="23"/>
        </w:rPr>
        <w:t>Actions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Keep public portfolio demos in $0 mode; never put a live key on a public Space.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Add a house style for agent briefs: 'as-of' date convention + explicit shared-vs-owned file list.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Merge the duplicate KNOWN_SCHEMA keys; re-run tests (expected to stay 18/18).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Re-verify fast-aging market claims before any executive or interview use.</w:t>
      </w:r>
    </w:p>
    <w:p>
      <w:pPr>
        <w:spacing w:before="200" w:after="80"/>
      </w:pPr>
      <w:r>
        <w:rPr>
          <w:b/>
          <w:i w:val="0"/>
          <w:color w:val="002B5B"/>
          <w:sz w:val="30"/>
        </w:rPr>
        <w:t>6.  Why This Matters — Executive Lens</w:t>
      </w:r>
    </w:p>
    <w:p>
      <w:pPr>
        <w:spacing w:after="100"/>
      </w:pPr>
      <w:r>
        <w:rPr>
          <w:b/>
          <w:i w:val="0"/>
          <w:color w:val="002B5B"/>
          <w:sz w:val="21"/>
        </w:rPr>
        <w:t xml:space="preserve">Time compression. </w:t>
      </w:r>
      <w:r>
        <w:rPr>
          <w:b w:val="0"/>
          <w:i w:val="0"/>
          <w:sz w:val="21"/>
        </w:rPr>
        <w:t>Four workstreams advanced concurrently instead of sequentially; the orchestrator integrated while specialists built. The constraint was clarity of brief, not headcount.</w:t>
      </w:r>
    </w:p>
    <w:p>
      <w:pPr>
        <w:spacing w:after="100"/>
      </w:pPr>
      <w:r>
        <w:rPr>
          <w:b/>
          <w:i w:val="0"/>
          <w:color w:val="002B5B"/>
          <w:sz w:val="21"/>
        </w:rPr>
        <w:t xml:space="preserve">Governance under parallelism. </w:t>
      </w:r>
      <w:r>
        <w:rPr>
          <w:b w:val="0"/>
          <w:i w:val="0"/>
          <w:sz w:val="21"/>
        </w:rPr>
        <w:t>The hardest part of AI-accelerated delivery is keeping controls intact while moving fast. Here the synthetic-vs-real data boundary, the audit-grade deterministic backbone, and the 'LLM output is a suggestion, not a sign-off' rule held across every agent.</w:t>
      </w:r>
    </w:p>
    <w:p>
      <w:pPr>
        <w:spacing w:after="100"/>
      </w:pPr>
      <w:r>
        <w:rPr>
          <w:b/>
          <w:i w:val="0"/>
          <w:color w:val="002B5B"/>
          <w:sz w:val="21"/>
        </w:rPr>
        <w:t xml:space="preserve">Human-in-the-loop control points. </w:t>
      </w:r>
      <w:r>
        <w:rPr>
          <w:b w:val="0"/>
          <w:i w:val="0"/>
          <w:sz w:val="21"/>
        </w:rPr>
        <w:t>Sign-off, repository pushes, and all credential handling stayed with the human. Agents proposed and produced; the human disposed. The retro itself surfaced a security risk (public key exposure) before any harm.</w:t>
      </w:r>
    </w:p>
    <w:p>
      <w:pPr>
        <w:spacing w:after="100"/>
      </w:pPr>
      <w:r>
        <w:rPr>
          <w:b/>
          <w:i w:val="0"/>
          <w:color w:val="002B5B"/>
          <w:sz w:val="21"/>
        </w:rPr>
        <w:t xml:space="preserve">A repeatable method. </w:t>
      </w:r>
      <w:r>
        <w:rPr>
          <w:b w:val="0"/>
          <w:i w:val="0"/>
          <w:sz w:val="21"/>
        </w:rPr>
        <w:t>Durable charter documents, a continuously-updated briefing log ('keep agents informed'), file-surface partitioning, and retros that include the agents themselves — this is a method that scales to the next prototype, not a one-off.</w:t>
      </w:r>
    </w:p>
    <w:p/>
    <w:p>
      <w:pPr>
        <w:jc w:val="center"/>
      </w:pPr>
      <w:r>
        <w:rPr>
          <w:b w:val="0"/>
          <w:i/>
          <w:color w:val="555555"/>
          <w:sz w:val="18"/>
        </w:rPr>
        <w:t>Synthetic data only · Public market data is real and public · One team, not human-vs-AI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