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496455"/>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496455"/>
                    </a:xfrm>
                    <a:prstGeom prst="rect"/>
                  </pic:spPr>
                </pic:pic>
              </a:graphicData>
            </a:graphic>
          </wp:inline>
        </w:drawing>
      </w:r>
    </w:p>
    <w:p>
      <w:pPr>
        <w:jc w:val="center"/>
      </w:pPr>
      <w:r>
        <w:rPr>
          <w:b/>
          <w:color w:val="0066CC"/>
          <w:sz w:val="56"/>
        </w:rPr>
        <w:br/>
        <w:br/>
        <w:t>Dynamic Vulnerability Assessment</w:t>
      </w:r>
    </w:p>
    <w:p>
      <w:pPr>
        <w:jc w:val="center"/>
      </w:pPr>
      <w:r>
        <w:rPr>
          <w:b/>
          <w:color w:val="0066CC"/>
          <w:sz w:val="52"/>
        </w:rPr>
        <w:t>dfhdfh</w:t>
      </w:r>
    </w:p>
    <w:p>
      <w:pPr>
        <w:jc w:val="left"/>
      </w:pPr>
      <w:r>
        <w:rPr>
          <w:b/>
        </w:rPr>
        <w:t xml:space="preserve">Requested by: </w:t>
      </w:r>
      <w:r>
        <w:t>dfhdfh</w:t>
      </w:r>
    </w:p>
    <w:p>
      <w:r>
        <w:br w:type="page"/>
      </w:r>
    </w:p>
    <w:p>
      <w:pPr>
        <w:pStyle w:val="Heading2"/>
      </w:pPr>
      <w:r>
        <w:rPr>
          <w:sz w:val="36"/>
        </w:rPr>
        <w:t>Version Information</w:t>
      </w:r>
    </w:p>
    <w:tbl>
      <w:tblPr>
        <w:tblStyle w:val="TableGrid"/>
        <w:tblW w:type="auto" w:w="0"/>
        <w:tblLook w:firstColumn="1" w:firstRow="1" w:lastColumn="0" w:lastRow="0" w:noHBand="0" w:noVBand="1" w:val="04A0"/>
      </w:tblPr>
      <w:tblGrid>
        <w:gridCol w:w="2880"/>
        <w:gridCol w:w="2880"/>
        <w:gridCol w:w="2880"/>
      </w:tblGrid>
      <w:tr>
        <w:tc>
          <w:tcPr>
            <w:tcW w:type="dxa" w:w="2880"/>
          </w:tcPr>
          <w:p>
            <w:r>
              <w:t>Date</w:t>
            </w:r>
          </w:p>
        </w:tc>
        <w:tc>
          <w:tcPr>
            <w:tcW w:type="dxa" w:w="2880"/>
          </w:tcPr>
          <w:p>
            <w:r>
              <w:t>Application Version</w:t>
            </w:r>
          </w:p>
        </w:tc>
        <w:tc>
          <w:tcPr>
            <w:tcW w:type="dxa" w:w="2880"/>
          </w:tcPr>
          <w:p>
            <w:r>
              <w:t>Reviewer</w:t>
            </w:r>
          </w:p>
        </w:tc>
      </w:tr>
      <w:tr>
        <w:tc>
          <w:tcPr>
            <w:tcW w:type="dxa" w:w="2880"/>
          </w:tcPr>
          <w:p>
            <w:r>
              <w:t>30-May-2025</w:t>
            </w:r>
          </w:p>
        </w:tc>
        <w:tc>
          <w:tcPr>
            <w:tcW w:type="dxa" w:w="2880"/>
          </w:tcPr>
          <w:p>
            <w:r>
              <w:t>Initial Draft</w:t>
            </w:r>
          </w:p>
        </w:tc>
        <w:tc>
          <w:tcPr>
            <w:tcW w:type="dxa" w:w="2880"/>
          </w:tcPr>
          <w:p>
            <w:r>
              <w:t>dfhdfh</w:t>
            </w:r>
          </w:p>
        </w:tc>
      </w:tr>
      <w:tr>
        <w:tc>
          <w:tcPr>
            <w:tcW w:type="dxa" w:w="2880"/>
          </w:tcPr>
          <w:p>
            <w:r>
              <w:t>30-May-2025</w:t>
            </w:r>
          </w:p>
        </w:tc>
        <w:tc>
          <w:tcPr>
            <w:tcW w:type="dxa" w:w="2880"/>
          </w:tcPr>
          <w:p>
            <w:r>
              <w:t>Peer Review</w:t>
            </w:r>
          </w:p>
        </w:tc>
        <w:tc>
          <w:tcPr>
            <w:tcW w:type="dxa" w:w="2880"/>
          </w:tcPr>
          <w:p/>
        </w:tc>
      </w:tr>
      <w:tr>
        <w:tc>
          <w:tcPr>
            <w:tcW w:type="dxa" w:w="2880"/>
          </w:tcPr>
          <w:p>
            <w:r>
              <w:t>30-May-2025</w:t>
            </w:r>
          </w:p>
        </w:tc>
        <w:tc>
          <w:tcPr>
            <w:tcW w:type="dxa" w:w="2880"/>
          </w:tcPr>
          <w:p>
            <w:r>
              <w:t>Approved</w:t>
            </w:r>
          </w:p>
        </w:tc>
        <w:tc>
          <w:tcPr>
            <w:tcW w:type="dxa" w:w="2880"/>
          </w:tcPr>
          <w:p/>
        </w:tc>
      </w:tr>
    </w:tbl>
    <w:p>
      <w:r>
        <w:br w:type="page"/>
      </w:r>
    </w:p>
    <w:p>
      <w:r>
        <w:rPr>
          <w:b/>
        </w:rPr>
        <w:t>Vulnerability Severity Distribution</w:t>
      </w:r>
    </w:p>
    <w:p>
      <w:pPr>
        <w:jc w:val="center"/>
      </w:pPr>
      <w:r>
        <w:drawing>
          <wp:inline xmlns:a="http://schemas.openxmlformats.org/drawingml/2006/main" xmlns:pic="http://schemas.openxmlformats.org/drawingml/2006/picture">
            <wp:extent cx="4114800" cy="4114800"/>
            <wp:docPr id="2" name="Picture 2"/>
            <wp:cNvGraphicFramePr>
              <a:graphicFrameLocks noChangeAspect="1"/>
            </wp:cNvGraphicFramePr>
            <a:graphic>
              <a:graphicData uri="http://schemas.openxmlformats.org/drawingml/2006/picture">
                <pic:pic>
                  <pic:nvPicPr>
                    <pic:cNvPr id="0" name="pie_f2599d9f310f45589a2ad4d6770e9ee1.png"/>
                    <pic:cNvPicPr/>
                  </pic:nvPicPr>
                  <pic:blipFill>
                    <a:blip r:embed="rId12"/>
                    <a:stretch>
                      <a:fillRect/>
                    </a:stretch>
                  </pic:blipFill>
                  <pic:spPr>
                    <a:xfrm>
                      <a:off x="0" y="0"/>
                      <a:ext cx="4114800" cy="4114800"/>
                    </a:xfrm>
                    <a:prstGeom prst="rect"/>
                  </pic:spPr>
                </pic:pic>
              </a:graphicData>
            </a:graphic>
          </wp:inline>
        </w:drawing>
      </w:r>
    </w:p>
    <w:p>
      <w:r>
        <w:br w:type="page"/>
      </w:r>
    </w:p>
    <w:p>
      <w:pPr>
        <w:pStyle w:val="Heading2"/>
      </w:pPr>
      <w:r>
        <w:rPr>
          <w:sz w:val="36"/>
        </w:rPr>
        <w:t>Summary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Sl. No.</w:t>
            </w:r>
          </w:p>
        </w:tc>
        <w:tc>
          <w:tcPr>
            <w:tcW w:type="dxa" w:w="2160"/>
          </w:tcPr>
          <w:p>
            <w:r>
              <w:t>Security Observation</w:t>
            </w:r>
          </w:p>
        </w:tc>
        <w:tc>
          <w:tcPr>
            <w:tcW w:type="dxa" w:w="2160"/>
          </w:tcPr>
          <w:p>
            <w:r>
              <w:t>Risk Rating</w:t>
            </w:r>
          </w:p>
        </w:tc>
        <w:tc>
          <w:tcPr>
            <w:tcW w:type="dxa" w:w="2160"/>
          </w:tcPr>
          <w:p>
            <w:r>
              <w:t>Page No.</w:t>
            </w:r>
          </w:p>
        </w:tc>
      </w:tr>
      <w:tr>
        <w:tc>
          <w:tcPr>
            <w:tcW w:type="dxa" w:w="8640"/>
            <w:gridSpan w:val="4"/>
          </w:tcPr>
          <w:p>
            <w:r>
              <w:rPr>
                <w:b/>
                <w:color w:val="800000"/>
              </w:rPr>
              <w:t>Critical Severity</w:t>
            </w:r>
          </w:p>
        </w:tc>
      </w:tr>
      <w:tr>
        <w:tc>
          <w:tcPr>
            <w:tcW w:type="dxa" w:w="2160"/>
          </w:tcPr>
          <w:p>
            <w:r>
              <w:t>1</w:t>
            </w:r>
          </w:p>
        </w:tc>
        <w:tc>
          <w:tcPr>
            <w:tcW w:type="dxa" w:w="2160"/>
          </w:tcPr>
          <w:p>
            <w:r>
              <w:t>Security Misconfiguration</w:t>
            </w:r>
          </w:p>
        </w:tc>
        <w:tc>
          <w:tcPr>
            <w:tcW w:type="dxa" w:w="2160"/>
          </w:tcPr>
          <w:p>
            <w:r>
              <w:rPr>
                <w:color w:val="800000"/>
              </w:rPr>
              <w:t>Critical</w:t>
            </w:r>
          </w:p>
        </w:tc>
        <w:tc>
          <w:tcPr>
            <w:tcW w:type="dxa" w:w="2160"/>
          </w:tcPr>
          <w:p>
            <w:r>
              <w:t>4</w:t>
            </w:r>
          </w:p>
        </w:tc>
      </w:tr>
      <w:tr>
        <w:tc>
          <w:tcPr>
            <w:tcW w:type="dxa" w:w="8640"/>
            <w:gridSpan w:val="4"/>
          </w:tcPr>
          <w:p>
            <w:r>
              <w:rPr>
                <w:b/>
                <w:color w:val="FF0000"/>
              </w:rPr>
              <w:t>High Severity</w:t>
            </w:r>
          </w:p>
        </w:tc>
      </w:tr>
      <w:tr>
        <w:tc>
          <w:tcPr>
            <w:tcW w:type="dxa" w:w="2160"/>
          </w:tcPr>
          <w:p>
            <w:r>
              <w:t>2</w:t>
            </w:r>
          </w:p>
        </w:tc>
        <w:tc>
          <w:tcPr>
            <w:tcW w:type="dxa" w:w="2160"/>
          </w:tcPr>
          <w:p>
            <w:r>
              <w:t>API key exposes PII Information</w:t>
            </w:r>
          </w:p>
        </w:tc>
        <w:tc>
          <w:tcPr>
            <w:tcW w:type="dxa" w:w="2160"/>
          </w:tcPr>
          <w:p>
            <w:r>
              <w:rPr>
                <w:color w:val="FF0000"/>
              </w:rPr>
              <w:t>High</w:t>
            </w:r>
          </w:p>
        </w:tc>
        <w:tc>
          <w:tcPr>
            <w:tcW w:type="dxa" w:w="2160"/>
          </w:tcPr>
          <w:p>
            <w:r>
              <w:t>5</w:t>
            </w:r>
          </w:p>
        </w:tc>
      </w:tr>
    </w:tbl>
    <w:p>
      <w:r>
        <w:br w:type="page"/>
      </w:r>
    </w:p>
    <w:p>
      <w:pPr>
        <w:pStyle w:val="Heading2"/>
      </w:pPr>
      <w:r>
        <w:rPr>
          <w:sz w:val="36"/>
        </w:rPr>
        <w:t>URLs and Scope</w:t>
      </w:r>
    </w:p>
    <w:p>
      <w:r>
        <w:t>URLs: dfxhdfh</w:t>
      </w:r>
    </w:p>
    <w:p>
      <w:r>
        <w:t>Scope: dfhdfh</w:t>
      </w:r>
    </w:p>
    <w:p>
      <w:r>
        <w:br w:type="page"/>
      </w:r>
    </w:p>
    <w:p>
      <w:pPr>
        <w:pStyle w:val="Heading2"/>
      </w:pPr>
      <w:r>
        <w:rPr>
          <w:sz w:val="36"/>
        </w:rPr>
        <w:t>Vulnerability Details</w:t>
      </w:r>
    </w:p>
    <w:p>
      <w:r>
        <w:br w:type="page"/>
      </w:r>
    </w:p>
    <w:p>
      <w:pPr>
        <w:pStyle w:val="Heading3"/>
      </w:pPr>
      <w:r>
        <w:rPr>
          <w:sz w:val="36"/>
        </w:rPr>
        <w:t>1. API key exposes PII Information</w:t>
      </w:r>
    </w:p>
    <w:p>
      <w:r>
        <w:rPr>
          <w:b/>
        </w:rPr>
        <w:t xml:space="preserve">Severity: </w:t>
      </w:r>
      <w:r>
        <w:rPr>
          <w:b/>
          <w:color w:val="FF0000"/>
        </w:rPr>
        <w:t>High</w:t>
      </w:r>
    </w:p>
    <w:p>
      <w:r>
        <w:t>CVSS Score: 8.5</w:t>
      </w:r>
    </w:p>
    <w:p>
      <w:r>
        <w:t>CVSS Vector: CVSS:3.1/AV:N/AC:H/PR:L/UI:N/S:C/C:H/I:H/A:H</w:t>
      </w:r>
    </w:p>
    <w:p>
      <w:pPr>
        <w:pStyle w:val="Heading4"/>
      </w:pPr>
      <w:r>
        <w:rPr>
          <w:sz w:val="36"/>
        </w:rPr>
        <w:t>Description</w:t>
      </w:r>
    </w:p>
    <w:p>
      <w:r>
        <w:t xml:space="preserve">Information leakage issues arise when applications reveal information that could be useful to a malicious actor in gaining a better knowledge of the application or underlying infrastructure. This can occur in several places and may include (but is not limited to): </w:t>
        <w:br/>
        <w:br/>
        <w:t xml:space="preserve">Sensitive information such as credentials, API keys and endpoints.  </w:t>
        <w:br/>
        <w:br/>
        <w:t xml:space="preserve">Accessing default application installation/configuration pages that disclose the underlying software.  </w:t>
        <w:br/>
        <w:br/>
        <w:t>Comments that are viewable in HTML source code.</w:t>
      </w:r>
    </w:p>
    <w:p>
      <w:pPr>
        <w:pStyle w:val="Heading4"/>
      </w:pPr>
      <w:r>
        <w:rPr>
          <w:sz w:val="36"/>
        </w:rPr>
        <w:t>Evidence</w:t>
      </w:r>
    </w:p>
    <w:p>
      <w:r>
        <w:t>Step 1: test</w:t>
      </w:r>
    </w:p>
    <w:p>
      <w:r>
        <w:drawing>
          <wp:inline xmlns:a="http://schemas.openxmlformats.org/drawingml/2006/main" xmlns:pic="http://schemas.openxmlformats.org/drawingml/2006/picture">
            <wp:extent cx="3657600" cy="3356386"/>
            <wp:docPr id="3" name="Picture 3"/>
            <wp:cNvGraphicFramePr>
              <a:graphicFrameLocks noChangeAspect="1"/>
            </wp:cNvGraphicFramePr>
            <a:graphic>
              <a:graphicData uri="http://schemas.openxmlformats.org/drawingml/2006/picture">
                <pic:pic>
                  <pic:nvPicPr>
                    <pic:cNvPr id="0" name="49efbac1fbf647f1b2e0e02dce84013c.png"/>
                    <pic:cNvPicPr/>
                  </pic:nvPicPr>
                  <pic:blipFill>
                    <a:blip r:embed="rId13"/>
                    <a:stretch>
                      <a:fillRect/>
                    </a:stretch>
                  </pic:blipFill>
                  <pic:spPr>
                    <a:xfrm>
                      <a:off x="0" y="0"/>
                      <a:ext cx="3657600" cy="3356386"/>
                    </a:xfrm>
                    <a:prstGeom prst="rect"/>
                  </pic:spPr>
                </pic:pic>
              </a:graphicData>
            </a:graphic>
          </wp:inline>
        </w:drawing>
      </w:r>
    </w:p>
    <w:p>
      <w:r>
        <w:t>Step 2: tersdhf</w:t>
      </w:r>
    </w:p>
    <w:p>
      <w:r>
        <w:drawing>
          <wp:inline xmlns:a="http://schemas.openxmlformats.org/drawingml/2006/main" xmlns:pic="http://schemas.openxmlformats.org/drawingml/2006/picture">
            <wp:extent cx="3657600" cy="3090930"/>
            <wp:docPr id="4" name="Picture 4"/>
            <wp:cNvGraphicFramePr>
              <a:graphicFrameLocks noChangeAspect="1"/>
            </wp:cNvGraphicFramePr>
            <a:graphic>
              <a:graphicData uri="http://schemas.openxmlformats.org/drawingml/2006/picture">
                <pic:pic>
                  <pic:nvPicPr>
                    <pic:cNvPr id="0" name="879c31edfb114626a84d494141562fa2.png"/>
                    <pic:cNvPicPr/>
                  </pic:nvPicPr>
                  <pic:blipFill>
                    <a:blip r:embed="rId14"/>
                    <a:stretch>
                      <a:fillRect/>
                    </a:stretch>
                  </pic:blipFill>
                  <pic:spPr>
                    <a:xfrm>
                      <a:off x="0" y="0"/>
                      <a:ext cx="3657600" cy="3090930"/>
                    </a:xfrm>
                    <a:prstGeom prst="rect"/>
                  </pic:spPr>
                </pic:pic>
              </a:graphicData>
            </a:graphic>
          </wp:inline>
        </w:drawing>
      </w:r>
    </w:p>
    <w:p>
      <w:pPr>
        <w:pStyle w:val="Heading4"/>
      </w:pPr>
      <w:r>
        <w:rPr>
          <w:sz w:val="36"/>
        </w:rPr>
        <w:t>Recommendation</w:t>
      </w:r>
    </w:p>
    <w:p>
      <w:r>
        <w:t>Please ensure that sensitive files are not served through the web server. Such files need to be blocked through server config rules or must be made accessible only to the server backend code</w:t>
      </w:r>
    </w:p>
    <w:p>
      <w:pPr>
        <w:pStyle w:val="Heading4"/>
      </w:pPr>
      <w:r>
        <w:rPr>
          <w:sz w:val="36"/>
        </w:rPr>
        <w:t>Reference</w:t>
      </w:r>
    </w:p>
    <w:p>
      <w:r>
        <w:t>https://owasp.org/www-project-top-ten/OWASP_Top_Ten_2017/Top_10-2017_A3-Sensitive_Data_Exposure</w:t>
      </w:r>
    </w:p>
    <w:p>
      <w:r>
        <w:br w:type="page"/>
      </w:r>
    </w:p>
    <w:p>
      <w:pPr>
        <w:pStyle w:val="Heading3"/>
      </w:pPr>
      <w:r>
        <w:rPr>
          <w:sz w:val="36"/>
        </w:rPr>
        <w:t>2. Security Misconfiguration</w:t>
      </w:r>
    </w:p>
    <w:p>
      <w:r>
        <w:rPr>
          <w:b/>
        </w:rPr>
        <w:t xml:space="preserve">Severity: </w:t>
      </w:r>
      <w:r>
        <w:rPr>
          <w:b/>
          <w:color w:val="800000"/>
        </w:rPr>
        <w:t>Critical</w:t>
      </w:r>
    </w:p>
    <w:p>
      <w:r>
        <w:t>CVSS Score: 9.4</w:t>
      </w:r>
    </w:p>
    <w:p>
      <w:r>
        <w:t>CVSS Vector: CVSS:3.1/AV:N/AC:L/PR:N/UI:N/S:U/C:H/I:L/A:H</w:t>
      </w:r>
    </w:p>
    <w:p>
      <w:pPr>
        <w:pStyle w:val="Heading4"/>
      </w:pPr>
      <w:r>
        <w:rPr>
          <w:sz w:val="36"/>
        </w:rPr>
        <w:t>Description</w:t>
      </w:r>
    </w:p>
    <w:p>
      <w: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 It is observed Credit Scoring tool is vulnerable to Information disclosure via a direct request. Perceive the below evidence that the PEGA platform does not enforce strict access control, which divulged the information of PegaRules Build, System Properties, Environment, Java Virtual Machine, PegaDatabase.</w:t>
      </w:r>
    </w:p>
    <w:p>
      <w:pPr>
        <w:pStyle w:val="Heading4"/>
      </w:pPr>
      <w:r>
        <w:rPr>
          <w:sz w:val="36"/>
        </w:rPr>
        <w:t>Evidence</w:t>
      </w:r>
    </w:p>
    <w:p>
      <w:pPr>
        <w:pStyle w:val="Heading4"/>
      </w:pPr>
      <w:r>
        <w:rPr>
          <w:sz w:val="36"/>
        </w:rPr>
        <w:t>Recommendation</w:t>
      </w:r>
    </w:p>
    <w:p>
      <w:r>
        <w:t>It is suggested to enforce strong access controls to avoid security misconfiguration vulnerabilities, disable direct request to sensitive information and verify directories permissions.</w:t>
      </w:r>
    </w:p>
    <w:p>
      <w:pPr>
        <w:pStyle w:val="Heading4"/>
      </w:pPr>
      <w:r>
        <w:rPr>
          <w:sz w:val="36"/>
        </w:rPr>
        <w:t>Reference</w:t>
      </w:r>
    </w:p>
    <w:p>
      <w:r>
        <w:t>https://portswigger.net/web-security/information-disclosure</w:t>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Confidential - For Internal Use Only</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914400" cy="198582"/>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914400" cy="198582"/>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