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Application</w:t>
      </w:r>
    </w:p>
    <w:p>
      <w:pPr>
        <w:jc w:val="left"/>
      </w:pPr>
      <w:r>
        <w:rPr>
          <w:b/>
        </w:rPr>
        <w:t xml:space="preserve">Requested by: </w:t>
      </w:r>
      <w:r>
        <w:t>Application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afb79540d86d4cb4bb64c1a31f64843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Application</w:t>
      </w:r>
    </w:p>
    <w:p>
      <w:r>
        <w:t>Scope: Application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8.8</w:t>
      </w:r>
    </w:p>
    <w:p>
      <w:r>
        <w:t>CVSS Vector: CVSS:3.1/AV:N/AC:L/PR:N/UI:R/S:U/C:H/I:H/A:H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