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7.png" ContentType="image/png"/>
  <Override PartName="/word/media/rId31.png" ContentType="image/png"/>
  <Override PartName="/word/media/rId23.png" ContentType="image/png"/>
  <Override PartName="/word/media/rId42.png" ContentType="image/png"/>
  <Override PartName="/word/media/rId3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1d42ae28b3af64fcfead10f7b1c79150a3df70"/>
    <w:p>
      <w:pPr>
        <w:pStyle w:val="Heading1"/>
      </w:pPr>
      <w:r>
        <w:t xml:space="preserve">The Rate Assumption Is the Story: Electrification Cost Impact Across Eight Rate Models</w:t>
      </w:r>
    </w:p>
    <w:p>
      <w:pPr>
        <w:pStyle w:val="FirstParagraph"/>
      </w:pPr>
      <w:r>
        <w:rPr>
          <w:b/>
          <w:bCs/>
        </w:rPr>
        <w:t xml:space="preserve">WhyWatt technical report — DRAFT for manual editing</w:t>
      </w:r>
      <w:r>
        <w:t xml:space="preserve"> </w:t>
      </w:r>
      <w:r>
        <w:rPr>
          <w:i/>
          <w:iCs/>
        </w:rPr>
        <w:t xml:space="preserve">Prepared 2026-09-09 · Data snapshot: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tests/validation/rate_model_impact.json</w:t>
      </w:r>
      <w:r>
        <w:rPr>
          <w:i/>
          <w:iCs/>
        </w:rPr>
        <w:t xml:space="preserve"> </w:t>
      </w:r>
      <w:r>
        <w:rPr>
          <w:i/>
          <w:iCs/>
        </w:rPr>
        <w:t xml:space="preserve">(Phase 6 WS1),</w:t>
      </w:r>
      <w:r>
        <w:rPr>
          <w:i/>
          <w:iCs/>
        </w:rPr>
        <w:t xml:space="preserve"> </w:t>
      </w:r>
      <w:r>
        <w:rPr>
          <w:i/>
          <w:iCs/>
        </w:rPr>
        <w:t xml:space="preserve">regenerated after the gas rate projection was put on a consistent real 2024$ basis 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docs/rate_projection_gas_provenance.md</w:t>
      </w:r>
      <w:r>
        <w:rPr>
          <w:i/>
          <w:iCs/>
        </w:rPr>
        <w:t xml:space="preserve">).</w:t>
      </w:r>
    </w:p>
    <w:p>
      <w:pPr>
        <w:pStyle w:val="BlockText"/>
      </w:pPr>
      <w:r>
        <w:rPr>
          <w:b/>
          <w:bCs/>
        </w:rPr>
        <w:t xml:space="preserve">Draft status.</w:t>
      </w:r>
      <w:r>
        <w:t xml:space="preserve"> </w:t>
      </w:r>
      <w:r>
        <w:t xml:space="preserve">This is a working draft assembled from the committed impact snapshot and the</w:t>
      </w:r>
      <w:r>
        <w:t xml:space="preserve"> </w:t>
      </w:r>
      <w:r>
        <w:t xml:space="preserve">project’s rate-projection guide. Prose marked</w:t>
      </w:r>
      <w:r>
        <w:t xml:space="preserve"> </w:t>
      </w:r>
      <w:r>
        <w:rPr>
          <w:b/>
          <w:bCs/>
        </w:rPr>
        <w:t xml:space="preserve">[EDITOR NOTE]</w:t>
      </w:r>
      <w:r>
        <w:t xml:space="preserve"> </w:t>
      </w:r>
      <w:r>
        <w:t xml:space="preserve">flags a decision or a number to</w:t>
      </w:r>
      <w:r>
        <w:t xml:space="preserve"> </w:t>
      </w:r>
      <w:r>
        <w:t xml:space="preserve">confirm before this goes to an audience. Charts are generated by</w:t>
      </w:r>
      <w:r>
        <w:t xml:space="preserve"> </w:t>
      </w:r>
      <w:r>
        <w:rPr>
          <w:rStyle w:val="VerbatimChar"/>
        </w:rPr>
        <w:t xml:space="preserve">scripts/build_impact_report_charts.py</w:t>
      </w:r>
      <w:r>
        <w:t xml:space="preserve">; the rate-curve figure is the same one served with the</w:t>
      </w:r>
      <w:r>
        <w:t xml:space="preserve"> </w:t>
      </w:r>
      <w:r>
        <w:t xml:space="preserve">in-app methodology guide.</w:t>
      </w:r>
    </w:p>
    <w:p>
      <w:r>
        <w:pict>
          <v:rect style="width:0;height:1.5pt" o:hralign="center" o:hrstd="t" o:hr="t"/>
        </w:pict>
      </w:r>
    </w:p>
    <w:bookmarkStart w:id="9" w:name="X37624ac7c8a64ab9cc7e48437b47b287acaad93"/>
    <w:p>
      <w:pPr>
        <w:pStyle w:val="Heading2"/>
      </w:pPr>
      <w:r>
        <w:t xml:space="preserve">1. Introduction — why the rate projection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analysis</w:t>
      </w:r>
    </w:p>
    <w:p>
      <w:pPr>
        <w:pStyle w:val="FirstParagraph"/>
      </w:pPr>
      <w:r>
        <w:t xml:space="preserve">When a homeowner asks</w:t>
      </w:r>
      <w:r>
        <w:t xml:space="preserve"> </w:t>
      </w:r>
      <w:r>
        <w:t xml:space="preserve">“will electrifying save me money?”</w:t>
      </w:r>
      <w:r>
        <w:t xml:space="preserve">, the honest first answer is a question back:</w:t>
      </w:r>
      <w:r>
        <w:t xml:space="preserve"> </w:t>
      </w:r>
      <w:r>
        <w:rPr>
          <w:i/>
          <w:iCs/>
        </w:rPr>
        <w:t xml:space="preserve">at what future energy prices?</w:t>
      </w:r>
      <w:r>
        <w:t xml:space="preserve"> </w:t>
      </w:r>
      <w:r>
        <w:t xml:space="preserve">The cost of an electrification journey is dominated not by the</w:t>
      </w:r>
      <w:r>
        <w:t xml:space="preserve"> </w:t>
      </w:r>
      <w:r>
        <w:t xml:space="preserve">appliances but by two decades of energy bills, and those bills depend on how the price of</w:t>
      </w:r>
      <w:r>
        <w:t xml:space="preserve"> </w:t>
      </w:r>
      <w:r>
        <w:t xml:space="preserve">electricity and gas moves between now and mid-century. Get the rate path wrong and every downstream</w:t>
      </w:r>
      <w:r>
        <w:t xml:space="preserve"> </w:t>
      </w:r>
      <w:r>
        <w:t xml:space="preserve">number — payback, lifetime savings, the whole recommendation — is wrong with it.</w:t>
      </w:r>
    </w:p>
    <w:p>
      <w:pPr>
        <w:pStyle w:val="BodyText"/>
      </w:pPr>
      <w:r>
        <w:t xml:space="preserve">The uncomfortable truth is that no one can hand you a single correct future rate. The major</w:t>
      </w:r>
      <w:r>
        <w:t xml:space="preserve"> </w:t>
      </w:r>
      <w:r>
        <w:t xml:space="preserve">institutions that publish rate outlooks do not agree, and they are not supposed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EIA</w:t>
      </w:r>
      <w:r>
        <w:t xml:space="preserve"> </w:t>
      </w:r>
      <w:r>
        <w:t xml:space="preserve">(Energy Information Administration) publishes the neutral, federal reference. Its Annual</w:t>
      </w:r>
      <w:r>
        <w:t xml:space="preserve"> </w:t>
      </w:r>
      <w:r>
        <w:t xml:space="preserve">Energy Outlook keeps both electricity and gas roughly</w:t>
      </w:r>
      <w:r>
        <w:t xml:space="preserve"> </w:t>
      </w:r>
      <w:r>
        <w:rPr>
          <w:i/>
          <w:iCs/>
        </w:rPr>
        <w:t xml:space="preserve">flat in real terms</w:t>
      </w:r>
      <w:r>
        <w:t xml:space="preserve"> </w:t>
      </w:r>
      <w:r>
        <w:t xml:space="preserve">nationally, and roughly</w:t>
      </w:r>
      <w:r>
        <w:t xml:space="preserve"> </w:t>
      </w:r>
      <w:r>
        <w:t xml:space="preserve">flat even for the Pacific region — because the federal reference case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model</w:t>
      </w:r>
      <w:r>
        <w:t xml:space="preserve"> </w:t>
      </w:r>
      <w:r>
        <w:t xml:space="preserve">California’s electrification-driven decline of the gas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California Energy Commission (CEC)</w:t>
      </w:r>
      <w:r>
        <w:t xml:space="preserve"> </w:t>
      </w:r>
      <w:r>
        <w:t xml:space="preserve">publishes the state’s own official forecast. Its 2025</w:t>
      </w:r>
      <w:r>
        <w:t xml:space="preserve"> </w:t>
      </w:r>
      <w:r>
        <w:t xml:space="preserve">IEPR keeps California</w:t>
      </w:r>
      <w:r>
        <w:t xml:space="preserve"> </w:t>
      </w:r>
      <w:r>
        <w:rPr>
          <w:b/>
          <w:bCs/>
        </w:rPr>
        <w:t xml:space="preserve">electricity</w:t>
      </w:r>
      <w:r>
        <w:t xml:space="preserve"> </w:t>
      </w:r>
      <w:r>
        <w:t xml:space="preserve">near-flat in real terms, but shows</w:t>
      </w:r>
      <w:r>
        <w:t xml:space="preserve"> </w:t>
      </w:r>
      <w:r>
        <w:rPr>
          <w:b/>
          <w:bCs/>
        </w:rPr>
        <w:t xml:space="preserve">gas</w:t>
      </w:r>
      <w:r>
        <w:t xml:space="preserve"> </w:t>
      </w:r>
      <w:r>
        <w:t xml:space="preserve">rates climbing</w:t>
      </w:r>
      <w:r>
        <w:t xml:space="preserve"> </w:t>
      </w:r>
      <w:r>
        <w:t xml:space="preserve">steeply for the customers who remain — the</w:t>
      </w:r>
      <w:r>
        <w:t xml:space="preserve"> </w:t>
      </w:r>
      <w:r>
        <w:t xml:space="preserve">“death spiral”</w:t>
      </w:r>
      <w:r>
        <w:t xml:space="preserve"> </w:t>
      </w:r>
      <w:r>
        <w:t xml:space="preserve">— with the severity depending on a policy</w:t>
      </w:r>
      <w:r>
        <w:t xml:space="preserve"> </w:t>
      </w:r>
      <w:r>
        <w:t xml:space="preserve">choice about how the state recovers the cost of a shrinking gas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</w:t>
      </w:r>
      <w:r>
        <w:t xml:space="preserve"> </w:t>
      </w:r>
      <w:r>
        <w:t xml:space="preserve">(Energy + Environmental Economics), the firm that builds California’s Avoided Cost</w:t>
      </w:r>
      <w:r>
        <w:t xml:space="preserve"> </w:t>
      </w:r>
      <w:r>
        <w:t xml:space="preserve">Calculator, published the foundational gas death-spiral study; its managed high-electrification</w:t>
      </w:r>
      <w:r>
        <w:t xml:space="preserve"> </w:t>
      </w:r>
      <w:r>
        <w:t xml:space="preserve">path is an independent high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PG&amp;E’s</w:t>
      </w:r>
      <w:r>
        <w:t xml:space="preserve"> </w:t>
      </w:r>
      <w:r>
        <w:t xml:space="preserve">own published tariffs are the ground-truth</w:t>
      </w:r>
      <w:r>
        <w:t xml:space="preserve"> </w:t>
      </w:r>
      <w:r>
        <w:rPr>
          <w:i/>
          <w:iCs/>
        </w:rPr>
        <w:t xml:space="preserve">starting point</w:t>
      </w:r>
      <w:r>
        <w:t xml:space="preserve"> </w:t>
      </w:r>
      <w:r>
        <w:t xml:space="preserve">— today’s E-1 electric and</w:t>
      </w:r>
      <w:r>
        <w:t xml:space="preserve"> </w:t>
      </w:r>
      <w:r>
        <w:t xml:space="preserve">G-1 gas rates — that every projection must be anchored to.</w:t>
      </w:r>
    </w:p>
    <w:p>
      <w:pPr>
        <w:pStyle w:val="FirstParagraph"/>
      </w:pPr>
      <w:r>
        <w:t xml:space="preserve">The single most important message of this report is therefore not a number but a</w:t>
      </w:r>
      <w:r>
        <w:t xml:space="preserve"> </w:t>
      </w:r>
      <w:r>
        <w:rPr>
          <w:b/>
          <w:bCs/>
        </w:rPr>
        <w:t xml:space="preserve">shape</w:t>
      </w:r>
      <w:r>
        <w:t xml:space="preserve">: the</w:t>
      </w:r>
      <w:r>
        <w:t xml:space="preserve"> </w:t>
      </w:r>
      <w:r>
        <w:t xml:space="preserve">near-term, mid-term, and long-term rate outlook is genuinely uncertain, and that uncertainty</w:t>
      </w:r>
      <w:r>
        <w:t xml:space="preserve"> </w:t>
      </w:r>
      <w:r>
        <w:rPr>
          <w:b/>
          <w:bCs/>
        </w:rPr>
        <w:t xml:space="preserve">cannot honestly be collapsed to one percentage-per-year</w:t>
      </w:r>
      <w:r>
        <w:t xml:space="preserve">. Near-term California rate pressure</w:t>
      </w:r>
      <w:r>
        <w:t xml:space="preserve"> </w:t>
      </w:r>
      <w:r>
        <w:t xml:space="preserve">(wildfire cost recovery, grid upgrades) behaves nothing like the long-term picture (a cleaner,</w:t>
      </w:r>
      <w:r>
        <w:t xml:space="preserve"> </w:t>
      </w:r>
      <w:r>
        <w:t xml:space="preserve">cheaper generation supply and, for gas, a shrinking customer base). A defensible tool has to show a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built from named sources — and then show how the electrification verdict holds up across</w:t>
      </w:r>
      <w:r>
        <w:t xml:space="preserve"> </w:t>
      </w:r>
      <w:r>
        <w:t xml:space="preserve">that range. That is exactly what the rest of this report does.</w:t>
      </w:r>
    </w:p>
    <w:p>
      <w:r>
        <w:pict>
          <v:rect style="width:0;height:1.5pt" o:hralign="center" o:hrstd="t" o:hr="t"/>
        </w:pict>
      </w:r>
    </w:p>
    <w:bookmarkEnd w:id="9"/>
    <w:bookmarkStart w:id="14" w:name="rate-projection-sources-and-method"/>
    <w:p>
      <w:pPr>
        <w:pStyle w:val="Heading2"/>
      </w:pPr>
      <w:r>
        <w:t xml:space="preserve">2. Rate projection — sources and method</w:t>
      </w:r>
    </w:p>
    <w:p>
      <w:pPr>
        <w:pStyle w:val="FirstParagraph"/>
      </w:pPr>
      <w:r>
        <w:rPr>
          <w:i/>
          <w:iCs/>
        </w:rPr>
        <w:t xml:space="preserve">This section summarizes the project’s living methodology guide,</w:t>
      </w:r>
      <w:r>
        <w:t xml:space="preserve"> </w:t>
      </w:r>
      <w:r>
        <w:rPr>
          <w:rStyle w:val="VerbatimChar"/>
          <w:i/>
          <w:iCs/>
        </w:rPr>
        <w:t xml:space="preserve">docs/help/rate_projection_guide.md</w:t>
      </w:r>
      <w:r>
        <w:rPr>
          <w:i/>
          <w:iCs/>
        </w:rPr>
        <w:t xml:space="preserve"> </w:t>
      </w:r>
      <w:r>
        <w:rPr>
          <w:i/>
          <w:iCs/>
        </w:rPr>
        <w:t xml:space="preserve">(§R1–R3, §R8). The math lives in</w:t>
      </w:r>
      <w:r>
        <w:t xml:space="preserve"> </w:t>
      </w:r>
      <w:r>
        <w:rPr>
          <w:rStyle w:val="VerbatimChar"/>
          <w:i/>
          <w:iCs/>
        </w:rPr>
        <w:t xml:space="preserve">docs/Energy_Rate_Projection_Spec.md</w:t>
      </w:r>
      <w:r>
        <w:rPr>
          <w:i/>
          <w:iCs/>
        </w:rPr>
        <w:t xml:space="preserve">.</w:t>
      </w:r>
    </w:p>
    <w:bookmarkStart w:id="10" w:name="what-the-projection-does-r1"/>
    <w:p>
      <w:pPr>
        <w:pStyle w:val="Heading3"/>
      </w:pPr>
      <w:r>
        <w:t xml:space="preserve">2.1 What the projection does (§R1)</w:t>
      </w:r>
    </w:p>
    <w:p>
      <w:pPr>
        <w:pStyle w:val="FirstParagraph"/>
      </w:pPr>
      <w:r>
        <w:t xml:space="preserve">The projection builds the</w:t>
      </w:r>
      <w:r>
        <w:t xml:space="preserve"> </w:t>
      </w:r>
      <w:r>
        <w:rPr>
          <w:b/>
          <w:bCs/>
        </w:rPr>
        <w:t xml:space="preserve">price side</w:t>
      </w:r>
      <w:r>
        <w:t xml:space="preserve"> </w:t>
      </w:r>
      <w:r>
        <w:t xml:space="preserve">of the future bill: a schedule of dollars-per-kWh and</w:t>
      </w:r>
      <w:r>
        <w:t xml:space="preserve"> </w:t>
      </w:r>
      <w:r>
        <w:t xml:space="preserve">dollars-per-therm for every year and month out to 2050. It is deliberately framed as a</w:t>
      </w:r>
      <w:r>
        <w:t xml:space="preserve"> </w:t>
      </w:r>
      <w:r>
        <w:rPr>
          <w:b/>
          <w:bCs/>
        </w:rPr>
        <w:t xml:space="preserve">projection under stated assumptions, not a prediction</w:t>
      </w:r>
      <w:r>
        <w:t xml:space="preserve">. Rather than one mystery number, it lays</w:t>
      </w:r>
      <w:r>
        <w:t xml:space="preserve"> </w:t>
      </w:r>
      <w:r>
        <w:t xml:space="preserve">out a low, a central, and a high path — each anchored to today’s real PG&amp;E rate and grown using</w:t>
      </w:r>
      <w:r>
        <w:t xml:space="preserve"> </w:t>
      </w:r>
      <w:r>
        <w:t xml:space="preserve">published government and expert forecasts — so the reasoning is visible instead of hidden.</w:t>
      </w:r>
    </w:p>
    <w:bookmarkEnd w:id="10"/>
    <w:bookmarkStart w:id="11" w:name="Xf972dea97c01bf7a5b8fc6b6e4e0926e9c67cf1"/>
    <w:p>
      <w:pPr>
        <w:pStyle w:val="Heading3"/>
      </w:pPr>
      <w:r>
        <w:t xml:space="preserve">2.2 A growing rate is a</w:t>
      </w:r>
      <w:r>
        <w:t xml:space="preserve"> </w:t>
      </w:r>
      <w:r>
        <w:rPr>
          <w:i/>
          <w:iCs/>
        </w:rPr>
        <w:t xml:space="preserve">function</w:t>
      </w:r>
      <w:r>
        <w:t xml:space="preserve">, not a single percentage (§R2)</w:t>
      </w:r>
    </w:p>
    <w:p>
      <w:pPr>
        <w:pStyle w:val="FirstParagraph"/>
      </w:pPr>
      <w:r>
        <w:t xml:space="preserve">Older tools escalate prices by one fixed percentage a year, forever. WhyWatt instead grows the rate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segments</w:t>
      </w:r>
      <w:r>
        <w:t xml:space="preserve"> </w:t>
      </w:r>
      <w:r>
        <w:t xml:space="preserve">— a near-term rate, a mid-term rate, and a long-term rate — with the curve bending at</w:t>
      </w:r>
      <w:r>
        <w:t xml:space="preserve"> </w:t>
      </w:r>
      <w:r>
        <w:t xml:space="preserve">the horizons the official forecasts themselves use (around 2030 and 2045). This captures the fact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rate of increase itself changes over time</w:t>
      </w:r>
      <w:r>
        <w:t xml:space="preserve">: near-term wildfire and grid pressure is not</w:t>
      </w:r>
      <w:r>
        <w:t xml:space="preserve"> </w:t>
      </w:r>
      <w:r>
        <w:t xml:space="preserve">the same force as the long-term supply picture.</w:t>
      </w:r>
    </w:p>
    <w:bookmarkEnd w:id="11"/>
    <w:bookmarkStart w:id="12" w:name="how-one-years-rate-is-built-r3"/>
    <w:p>
      <w:pPr>
        <w:pStyle w:val="Heading3"/>
      </w:pPr>
      <w:r>
        <w:t xml:space="preserve">2.3 How one year’s rate is built (§R3)</w:t>
      </w:r>
    </w:p>
    <w:p>
      <w:pPr>
        <w:pStyle w:val="FirstParagraph"/>
      </w:pPr>
      <w:r>
        <w:t xml:space="preserve">A California retail rate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cost of energy plus a markup. WhyWatt builds each year’s rate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adding two pieces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Marginal cost</w:t>
      </w:r>
      <w:r>
        <w:t xml:space="preserve"> </w:t>
      </w:r>
      <w:r>
        <w:t xml:space="preserve">— the true cost of one more unit of energy at that hour (a few cents/kWh), taken</w:t>
      </w:r>
      <w:r>
        <w:t xml:space="preserve"> </w:t>
      </w:r>
      <w:r>
        <w:t xml:space="preserve">from the state’s official</w:t>
      </w:r>
      <w:r>
        <w:t xml:space="preserve"> </w:t>
      </w:r>
      <w:r>
        <w:rPr>
          <w:b/>
          <w:bCs/>
        </w:rPr>
        <w:t xml:space="preserve">Avoided Cost Calculator (ACC 2024, built by E3)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Residual</w:t>
      </w:r>
      <w:r>
        <w:t xml:space="preserve"> </w:t>
      </w:r>
      <w:r>
        <w:t xml:space="preserve">— everything else the utility must recover: wildfire mitigation, existing poles and</w:t>
      </w:r>
      <w:r>
        <w:t xml:space="preserve"> </w:t>
      </w:r>
      <w:r>
        <w:t xml:space="preserve">wires, legacy contracts, public programs. This is the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of the bill.</w:t>
      </w:r>
    </w:p>
    <w:p>
      <w:pPr>
        <w:pStyle w:val="FirstParagraph"/>
      </w:pPr>
      <w:r>
        <w:t xml:space="preserve">The two are</w:t>
      </w:r>
      <w:r>
        <w:t xml:space="preserve"> </w:t>
      </w:r>
      <w:r>
        <w:rPr>
          <w:b/>
          <w:bCs/>
        </w:rPr>
        <w:t xml:space="preserve">added, not multiplied</w:t>
      </w:r>
      <w:r>
        <w:t xml:space="preserve">, and that choice drives the whole result. The residual behaves</w:t>
      </w:r>
      <w:r>
        <w:t xml:space="preserve"> </w:t>
      </w:r>
      <w:r>
        <w:t xml:space="preserve">like a large fixed pot of cost (the</w:t>
      </w:r>
      <w:r>
        <w:t xml:space="preserve"> </w:t>
      </w:r>
      <w:r>
        <w:rPr>
          <w:i/>
          <w:iCs/>
        </w:rPr>
        <w:t xml:space="preserve">revenue requirement</w:t>
      </w:r>
      <w:r>
        <w:t xml:space="preserve">) divided across all the energy sold:</w:t>
      </w:r>
    </w:p>
    <w:p>
      <w:pPr>
        <w:pStyle w:val="BlockText"/>
      </w:pPr>
      <w:r>
        <w:rPr>
          <w:b/>
          <w:bCs/>
        </w:rPr>
        <w:t xml:space="preserve">residual rate ≈ revenue requirement ÷ energy sold</w:t>
      </w:r>
    </w:p>
    <w:p>
      <w:pPr>
        <w:pStyle w:val="FirstParagraph"/>
      </w:pPr>
      <w:r>
        <w:t xml:space="preserve">Two things move it — the revenue requirement rising, and the amount of energy sold changing: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Electricity:</w:t>
      </w:r>
      <w:r>
        <w:t xml:space="preserve"> </w:t>
      </w:r>
      <w:r>
        <w:t xml:space="preserve">sales are</w:t>
      </w:r>
      <w:r>
        <w:t xml:space="preserve"> </w:t>
      </w:r>
      <w:r>
        <w:rPr>
          <w:i/>
          <w:iCs/>
        </w:rPr>
        <w:t xml:space="preserve">growing</w:t>
      </w:r>
      <w:r>
        <w:t xml:space="preserve"> </w:t>
      </w:r>
      <w:r>
        <w:t xml:space="preserve">(EVs and heat pumps sell more kWh), and that growth roughly</w:t>
      </w:r>
      <w:r>
        <w:t xml:space="preserve"> </w:t>
      </w:r>
      <w:r>
        <w:rPr>
          <w:b/>
          <w:bCs/>
        </w:rPr>
        <w:t xml:space="preserve">cancels</w:t>
      </w:r>
      <w:r>
        <w:t xml:space="preserve"> </w:t>
      </w:r>
      <w:r>
        <w:t xml:space="preserve">the rising revenue requirement — so electric rates stay about flat after inflation.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Gas:</w:t>
      </w:r>
      <w:r>
        <w:t xml:space="preserve"> </w:t>
      </w:r>
      <w:r>
        <w:t xml:space="preserve">sales are</w:t>
      </w:r>
      <w:r>
        <w:t xml:space="preserve"> </w:t>
      </w:r>
      <w:r>
        <w:rPr>
          <w:i/>
          <w:iCs/>
        </w:rPr>
        <w:t xml:space="preserve">shrinking</w:t>
      </w:r>
      <w:r>
        <w:t xml:space="preserve"> </w:t>
      </w:r>
      <w:r>
        <w:t xml:space="preserve">(homes leave gas), so the same fixed cost lands on fewer therms and</w:t>
      </w:r>
      <w:r>
        <w:t xml:space="preserve"> </w:t>
      </w:r>
      <w:r>
        <w:t xml:space="preserve">the rate</w:t>
      </w:r>
      <w:r>
        <w:t xml:space="preserve"> </w:t>
      </w:r>
      <w:r>
        <w:rPr>
          <w:b/>
          <w:bCs/>
        </w:rPr>
        <w:t xml:space="preserve">climbs</w:t>
      </w:r>
      <w:r>
        <w:t xml:space="preserve">.</w:t>
      </w:r>
    </w:p>
    <w:p>
      <w:pPr>
        <w:pStyle w:val="FirstParagraph"/>
      </w:pPr>
      <w:r>
        <w:t xml:space="preserve">Same arithmetic, opposite direction — which is precisely why electricity and gas pull apart over</w:t>
      </w:r>
      <w:r>
        <w:t xml:space="preserve"> </w:t>
      </w:r>
      <w:r>
        <w:t xml:space="preserve">time.</w:t>
      </w:r>
    </w:p>
    <w:bookmarkEnd w:id="12"/>
    <w:bookmarkStart w:id="13" w:name="the-sources-in-one-place-r8"/>
    <w:p>
      <w:pPr>
        <w:pStyle w:val="Heading3"/>
      </w:pPr>
      <w:r>
        <w:t xml:space="preserve">2.4 The sources, in one place (§R8)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 in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(elec &amp; gas)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CPUC ACC 2024</w:t>
            </w:r>
            <w:r>
              <w:t xml:space="preserve"> </w:t>
            </w:r>
            <w:r>
              <w:t xml:space="preserve">(built by E3), harvested at climate zone CZ4</w:t>
            </w:r>
          </w:p>
        </w:tc>
        <w:tc>
          <w:tcPr/>
          <w:p>
            <w:pPr>
              <w:pStyle w:val="Compact"/>
            </w:pPr>
            <w:r>
              <w:t xml:space="preserve">Sets the</w:t>
            </w:r>
            <w:r>
              <w:t xml:space="preserve"> </w:t>
            </w:r>
            <w:r>
              <w:t xml:space="preserve">“one more unit”</w:t>
            </w:r>
            <w:r>
              <w:t xml:space="preserve"> </w:t>
            </w:r>
            <w:r>
              <w:t xml:space="preserve">piece; shows the</w:t>
            </w:r>
            <w:r>
              <w:t xml:space="preserve"> </w:t>
            </w:r>
            <w:r>
              <w:rPr>
                <w:i/>
                <w:iCs/>
              </w:rPr>
              <w:t xml:space="preserve">bill</w:t>
            </w:r>
            <w:r>
              <w:t xml:space="preserve"> </w:t>
            </w:r>
            <w:r>
              <w:t xml:space="preserve">marginal cost is nearly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 central 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 2025 IEPR</w:t>
            </w:r>
            <w:r>
              <w:t xml:space="preserve"> </w:t>
            </w:r>
            <w:r>
              <w:t xml:space="preserve">electricity rate workbook (PG&amp;E residential, tn=268239)</w:t>
            </w:r>
          </w:p>
        </w:tc>
        <w:tc>
          <w:tcPr/>
          <w:p>
            <w:pPr>
              <w:pStyle w:val="Compact"/>
            </w:pPr>
            <w:r>
              <w:t xml:space="preserve">Drives the WhyWatt electricity scenarios (real-flat ~36¢/kWh 2024$)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death-spiral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 2025 IEPR</w:t>
            </w:r>
            <w:r>
              <w:t xml:space="preserve"> </w:t>
            </w:r>
            <w:r>
              <w:t xml:space="preserve">gas rate workbook (tn=264063,</w:t>
            </w:r>
            <w:r>
              <w:t xml:space="preserve"> </w:t>
            </w:r>
            <w:r>
              <w:rPr>
                <w:rStyle w:val="VerbatimChar"/>
              </w:rPr>
              <w:t xml:space="preserve">PG&amp;E Res</w:t>
            </w:r>
            <w:r>
              <w:t xml:space="preserve"> </w:t>
            </w:r>
            <w:r>
              <w:t xml:space="preserve">sheet, col H</w:t>
            </w:r>
            <w:r>
              <w:t xml:space="preserve"> </w:t>
            </w:r>
            <w:r>
              <w:t xml:space="preserve">“Delivered Price”</w:t>
            </w:r>
            <w:r>
              <w:t xml:space="preserve">; Planning-Area + extreme case; real 2024$)</w:t>
            </w:r>
          </w:p>
        </w:tc>
        <w:tc>
          <w:tcPr/>
          <w:p>
            <w:pPr>
              <w:pStyle w:val="Compact"/>
            </w:pPr>
            <w:r>
              <w:t xml:space="preserve">Drives the WhyWatt gas scenarios and the CEC extreme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high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 (2020)</w:t>
            </w:r>
            <w:r>
              <w:t xml:space="preserve"> </w:t>
            </w:r>
            <w:r>
              <w:t xml:space="preserve">“Retail Gas in California’s Low-Carbon Future”</w:t>
            </w:r>
          </w:p>
        </w:tc>
        <w:tc>
          <w:tcPr/>
          <w:p>
            <w:pPr>
              <w:pStyle w:val="Compact"/>
            </w:pPr>
            <w:r>
              <w:t xml:space="preserve">Second, independent gas-spiral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anchor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EIA</w:t>
            </w:r>
            <w:r>
              <w:t xml:space="preserve"> </w:t>
            </w:r>
            <w:r>
              <w:t xml:space="preserve">national average + AEO Pacific</w:t>
            </w:r>
          </w:p>
        </w:tc>
        <w:tc>
          <w:tcPr/>
          <w:p>
            <w:pPr>
              <w:pStyle w:val="Compact"/>
            </w:pPr>
            <w:r>
              <w:t xml:space="preserve">Federal reference lines; the recommended default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Base-year anchor &amp; backcast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PG&amp;E published tariffs</w:t>
            </w:r>
            <w:r>
              <w:t xml:space="preserve"> </w:t>
            </w:r>
            <w:r>
              <w:t xml:space="preserve">(E-1, G-1, 2018→2025)</w:t>
            </w:r>
          </w:p>
        </w:tc>
        <w:tc>
          <w:tcPr/>
          <w:p>
            <w:pPr>
              <w:pStyle w:val="Compact"/>
            </w:pPr>
            <w:r>
              <w:t xml:space="preserve">Sets today’s rate; checks the model retraces recent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Nominal↔real bridge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 2023 IEPR GDP deflator</w:t>
            </w:r>
            <w:r>
              <w:t xml:space="preserve"> </w:t>
            </w:r>
            <w:r>
              <w:t xml:space="preserve">(~2.2%/yr)</w:t>
            </w:r>
          </w:p>
        </w:tc>
        <w:tc>
          <w:tcPr/>
          <w:p>
            <w:pPr>
              <w:pStyle w:val="Compact"/>
            </w:pPr>
            <w:r>
              <w:t xml:space="preserve">The single inflation series used across all 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dollar basis.</w:t>
      </w:r>
      <w:r>
        <w:t xml:space="preserve"> </w:t>
      </w:r>
      <w:r>
        <w:t xml:space="preserve">The rate</w:t>
      </w:r>
      <w:r>
        <w:t xml:space="preserve"> </w:t>
      </w:r>
      <w:r>
        <w:rPr>
          <w:i/>
          <w:iCs/>
        </w:rPr>
        <w:t xml:space="preserve">curves</w:t>
      </w:r>
      <w:r>
        <w:t xml:space="preserve"> </w:t>
      </w:r>
      <w:r>
        <w:t xml:space="preserve">in Section 3 (Figure 1 and its table) are shown in</w:t>
      </w:r>
      <w:r>
        <w:t xml:space="preserve"> </w:t>
      </w:r>
      <w:r>
        <w:rPr>
          <w:b/>
          <w:bCs/>
        </w:rPr>
        <w:t xml:space="preserve">real 2024$</w:t>
      </w:r>
      <w:r>
        <w:t xml:space="preserve"> </w:t>
      </w:r>
      <w:r>
        <w:t xml:space="preserve">— inflation removed with the CEC GDP deflator — because that is the basis the CEC</w:t>
      </w:r>
      <w:r>
        <w:t xml:space="preserve"> </w:t>
      </w:r>
      <w:r>
        <w:t xml:space="preserve">anchors are published in, so every source compares fairly. The cumulative</w:t>
      </w:r>
      <w:r>
        <w:t xml:space="preserve"> </w:t>
      </w:r>
      <w:r>
        <w:rPr>
          <w:i/>
          <w:iCs/>
        </w:rPr>
        <w:t xml:space="preserve">bill totals</w:t>
      </w:r>
      <w:r>
        <w:t xml:space="preserve"> </w:t>
      </w:r>
      <w:r>
        <w:t xml:space="preserve">in Section 4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nominal dollars</w:t>
      </w:r>
      <w:r>
        <w:t xml:space="preserve"> </w:t>
      </w:r>
      <w:r>
        <w:t xml:space="preserve">(what actually appears on a bill, summed over the horizon), which is why they</w:t>
      </w:r>
      <w:r>
        <w:t xml:space="preserve"> </w:t>
      </w:r>
      <w:r>
        <w:t xml:space="preserve">run larger; the model computes those nominal, and the same deflator can convert them to real if</w:t>
      </w:r>
      <w:r>
        <w:t xml:space="preserve"> </w:t>
      </w:r>
      <w:r>
        <w:t xml:space="preserve">wanted. Both are labelled where they appear.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ate-projection-results-in-plain-terms"/>
    <w:p>
      <w:pPr>
        <w:pStyle w:val="Heading2"/>
      </w:pPr>
      <w:r>
        <w:t xml:space="preserve">3. Rate projection — results, in plain terms</w:t>
      </w:r>
    </w:p>
    <w:p>
      <w:pPr>
        <w:pStyle w:val="FirstParagraph"/>
      </w:pPr>
      <w:r>
        <w:t xml:space="preserve">The figure below plots</w:t>
      </w:r>
      <w:r>
        <w:t xml:space="preserve"> </w:t>
      </w:r>
      <w:r>
        <w:rPr>
          <w:b/>
          <w:bCs/>
        </w:rPr>
        <w:t xml:space="preserve">every selectable rate model</w:t>
      </w:r>
      <w:r>
        <w:t xml:space="preserve">, both fuels, 2025–2050 (gas on a log scale).</w:t>
      </w:r>
    </w:p>
    <w:p>
      <w:pPr>
        <w:pStyle w:val="CaptionedFigure"/>
      </w:pPr>
      <w:r>
        <w:drawing>
          <wp:inline>
            <wp:extent cx="5334000" cy="2230581"/>
            <wp:effectExtent b="0" l="0" r="0" t="0"/>
            <wp:docPr descr="Projected retail rates for every selectable rate model, electricity and gas, 2025–2050" title="" id="16" name="Picture"/>
            <a:graphic>
              <a:graphicData uri="http://schemas.openxmlformats.org/drawingml/2006/picture">
                <pic:pic>
                  <pic:nvPicPr>
                    <pic:cNvPr descr="assets/rate_projection_curv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Projected retail rates for every selectable rate model, electricity and gas, 2025–2050</w:t>
      </w:r>
    </w:p>
    <w:p>
      <w:pPr>
        <w:pStyle w:val="BodyText"/>
      </w:pPr>
      <w:r>
        <w:rPr>
          <w:i/>
          <w:iCs/>
        </w:rPr>
        <w:t xml:space="preserve">Figure 1. Projected retail rate for every selectable rate model — the three WhyWatt scenarios plus</w:t>
      </w:r>
      <w:r>
        <w:rPr>
          <w:i/>
          <w:iCs/>
        </w:rPr>
        <w:t xml:space="preserve"> </w:t>
      </w:r>
      <w:r>
        <w:rPr>
          <w:i/>
          <w:iCs/>
        </w:rPr>
        <w:t xml:space="preserve">the CEC and EIA reference lines — both fuels, 2025–2050 (gas log scale),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real 2024$</w:t>
      </w:r>
      <w:r>
        <w:rPr>
          <w:i/>
          <w:iCs/>
        </w:rPr>
        <w:t xml:space="preserve"> </w:t>
      </w:r>
      <w:r>
        <w:rPr>
          <w:i/>
          <w:iCs/>
        </w:rPr>
        <w:t xml:space="preserve">(inflation</w:t>
      </w:r>
      <w:r>
        <w:rPr>
          <w:i/>
          <w:iCs/>
        </w:rPr>
        <w:t xml:space="preserve"> </w:t>
      </w:r>
      <w:r>
        <w:rPr>
          <w:i/>
          <w:iCs/>
        </w:rPr>
        <w:t xml:space="preserve">removed); each line labelled with its 2050 value. Anchored to the PG&amp;E E-1/G-1 tariff. Generated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whywatt_rate_projection.json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scripts/build_guide_charts.py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In plain terms — electricity stays modest; only gas spirals.</w:t>
      </w:r>
      <w:r>
        <w:t xml:space="preserve"> </w:t>
      </w:r>
      <w:r>
        <w:t xml:space="preserve">All the electricity lines sit in a</w:t>
      </w:r>
      <w:r>
        <w:t xml:space="preserve"> </w:t>
      </w:r>
      <w:r>
        <w:t xml:space="preserve">narrow band and stay roughly flat in real terms across every model. The gas lines fan out</w:t>
      </w:r>
      <w:r>
        <w:t xml:space="preserve"> </w:t>
      </w:r>
      <w:r>
        <w:t xml:space="preserve">dramatically. That divergence is the entire economic engine of electrification: you are moving load</w:t>
      </w:r>
      <w:r>
        <w:t xml:space="preserve"> </w:t>
      </w:r>
      <w:r>
        <w:t xml:space="preserve">off the fuel whose price is climbing and onto the fuel whose price is stable.</w:t>
      </w:r>
    </w:p>
    <w:p>
      <w:pPr>
        <w:pStyle w:val="BodyText"/>
      </w:pPr>
      <w:r>
        <w:rPr>
          <w:b/>
          <w:bCs/>
        </w:rPr>
        <w:t xml:space="preserve">How far gas rises is a policy choice, not physics.</w:t>
      </w:r>
      <w:r>
        <w:t xml:space="preserve"> </w:t>
      </w:r>
      <w:r>
        <w:t xml:space="preserve">Using the CEC’s own gas study (PG&amp;E</w:t>
      </w:r>
      <w:r>
        <w:t xml:space="preserve"> </w:t>
      </w:r>
      <w:r>
        <w:t xml:space="preserve">residential, today ≈ $2.08/therm), the projected</w:t>
      </w:r>
      <w:r>
        <w:t xml:space="preserve"> </w:t>
      </w:r>
      <w:r>
        <w:rPr>
          <w:b/>
          <w:bCs/>
        </w:rPr>
        <w:t xml:space="preserve">2050</w:t>
      </w:r>
      <w:r>
        <w:t xml:space="preserve"> </w:t>
      </w:r>
      <w:r>
        <w:t xml:space="preserve">gas rates — in</w:t>
      </w:r>
      <w:r>
        <w:t xml:space="preserve"> </w:t>
      </w:r>
      <w:r>
        <w:rPr>
          <w:b/>
          <w:bCs/>
        </w:rPr>
        <w:t xml:space="preserve">real 2024$</w:t>
      </w:r>
      <w:r>
        <w:t xml:space="preserve"> </w:t>
      </w:r>
      <w:r>
        <w:t xml:space="preserve">—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2050 gas rate</w:t>
            </w:r>
          </w:p>
        </w:tc>
        <w:tc>
          <w:tcPr/>
          <w:p>
            <w:pPr>
              <w:pStyle w:val="Compact"/>
            </w:pPr>
            <w:r>
              <w:t xml:space="preserve">What it represents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EIA national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~$1.3</w:t>
            </w:r>
          </w:p>
        </w:tc>
        <w:tc>
          <w:tcPr/>
          <w:p>
            <w:pPr>
              <w:pStyle w:val="Compact"/>
            </w:pPr>
            <w:r>
              <w:t xml:space="preserve">federal reference — no CA death spiral modeled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EIA AEO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~$1.9</w:t>
            </w:r>
          </w:p>
        </w:tc>
        <w:tc>
          <w:tcPr/>
          <w:p>
            <w:pPr>
              <w:pStyle w:val="Compact"/>
            </w:pPr>
            <w:r>
              <w:t xml:space="preserve">federal reference, our region — still roughly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(2020)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~$7.8</w:t>
            </w:r>
          </w:p>
        </w:tc>
        <w:tc>
          <w:tcPr/>
          <w:p>
            <w:pPr>
              <w:pStyle w:val="Compact"/>
            </w:pPr>
            <w:r>
              <w:t xml:space="preserve">E3’s managed high-electrification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WhyWatt Conservative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~$14</w:t>
            </w:r>
          </w:p>
        </w:tc>
        <w:tc>
          <w:tcPr/>
          <w:p>
            <w:pPr>
              <w:pStyle w:val="Compact"/>
            </w:pPr>
            <w:r>
              <w:t xml:space="preserve">CEC managed decline (</w:t>
            </w:r>
            <w:r>
              <w:t xml:space="preserve">“pruning”</w:t>
            </w:r>
            <w:r>
              <w:t xml:space="preserve"> </w:t>
            </w:r>
            <w:r>
              <w:t xml:space="preserve">gas spend)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WhyWatt Moderate (default)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~$26</w:t>
            </w:r>
          </w:p>
        </w:tc>
        <w:tc>
          <w:tcPr/>
          <w:p>
            <w:pPr>
              <w:pStyle w:val="Compact"/>
            </w:pPr>
            <w:r>
              <w:t xml:space="preserve">CEC steadier recovery (</w:t>
            </w:r>
            <w:r>
              <w:t xml:space="preserve">“front-load”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WhyWatt 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~$67</w:t>
            </w:r>
          </w:p>
        </w:tc>
        <w:tc>
          <w:tcPr/>
          <w:p>
            <w:pPr>
              <w:pStyle w:val="Compact"/>
            </w:pPr>
            <w:r>
              <w:t xml:space="preserve">CEC business-as-usual spending (</w:t>
            </w:r>
            <w:r>
              <w:t xml:space="preserve">“flat”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CEC 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~$103</w:t>
            </w:r>
          </w:p>
        </w:tc>
        <w:tc>
          <w:tcPr/>
          <w:p>
            <w:pPr>
              <w:pStyle w:val="Compact"/>
            </w:pPr>
            <w:r>
              <w:t xml:space="preserve">CEC fast electrification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business-as-usual spending (~50×)</w:t>
            </w:r>
          </w:p>
        </w:tc>
      </w:tr>
    </w:tbl>
    <w:p>
      <w:pPr>
        <w:pStyle w:val="BodyText"/>
      </w:pPr>
      <w:r>
        <w:rPr>
          <w:i/>
          <w:iCs/>
        </w:rPr>
        <w:t xml:space="preserve">(All real 2024$. In nominal dollars each gas figure is ~1.7× larger by 2050 — e.g. Moderate ≈</w:t>
      </w:r>
      <w:r>
        <w:rPr>
          <w:i/>
          <w:iCs/>
        </w:rPr>
        <w:t xml:space="preserve"> </w:t>
      </w:r>
      <w:r>
        <w:rPr>
          <w:i/>
          <w:iCs/>
        </w:rPr>
        <w:t xml:space="preserve">$46/therm nominal — which is the basis the Section 4 bill totals are summed in.)</w:t>
      </w:r>
    </w:p>
    <w:p>
      <w:pPr>
        <w:pStyle w:val="BodyText"/>
      </w:pPr>
      <w:r>
        <w:t xml:space="preserve">The federal (EIA) lines stay near today’s rate because they don’t assume California’s gas transition</w:t>
      </w:r>
      <w:r>
        <w:t xml:space="preserve"> </w:t>
      </w:r>
      <w:r>
        <w:t xml:space="preserve">happens; the CEC cases show what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happen to remaining gas customers when it does.</w:t>
      </w:r>
    </w:p>
    <w:p>
      <w:pPr>
        <w:pStyle w:val="BodyText"/>
      </w:pPr>
      <w:r>
        <w:rPr>
          <w:b/>
          <w:bCs/>
        </w:rPr>
        <w:t xml:space="preserve">The anchor thesis (why the default is the neutral EIA average).</w:t>
      </w:r>
      <w:r>
        <w:t xml:space="preserve"> </w:t>
      </w:r>
      <w:r>
        <w:t xml:space="preserve">When a conversation drifts into</w:t>
      </w:r>
      <w:r>
        <w:t xml:space="preserve"> </w:t>
      </w:r>
      <w:r>
        <w:t xml:space="preserve">“but rates could do anything,”</w:t>
      </w:r>
      <w:r>
        <w:t xml:space="preserve"> </w:t>
      </w:r>
      <w:r>
        <w:t xml:space="preserve">anchor it: run the analysis at the</w:t>
      </w:r>
      <w:r>
        <w:t xml:space="preserve"> </w:t>
      </w:r>
      <w:r>
        <w:rPr>
          <w:b/>
          <w:bCs/>
        </w:rPr>
        <w:t xml:space="preserve">conservative US EIA national</w:t>
      </w:r>
      <w:r>
        <w:rPr>
          <w:b/>
          <w:bCs/>
        </w:rP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(electricity ~18¢/kWh, gas ~$1.25/therm — about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of California’s rates). As Section 4</w:t>
      </w:r>
      <w:r>
        <w:t xml:space="preserve"> </w:t>
      </w:r>
      <w:r>
        <w:t xml:space="preserve">shows, even at those modest national rates, electrification</w:t>
      </w:r>
      <w:r>
        <w:t xml:space="preserve"> </w:t>
      </w:r>
      <w:r>
        <w:rPr>
          <w:b/>
          <w:bCs/>
        </w:rPr>
        <w:t xml:space="preserve">plus solar</w:t>
      </w:r>
      <w:r>
        <w:t xml:space="preserve"> </w:t>
      </w:r>
      <w:r>
        <w:t xml:space="preserve">still comes out ahead in</w:t>
      </w:r>
      <w:r>
        <w:t xml:space="preserve"> </w:t>
      </w:r>
      <w:r>
        <w:t xml:space="preserve">California. A homeowner’s actual California costs will be higher — which only strengthens the case —</w:t>
      </w:r>
      <w:r>
        <w:t xml:space="preserve"> </w:t>
      </w:r>
      <w:r>
        <w:t xml:space="preserve">but anchoring to the neutral federal number keeps the argument defensible and sidesteps</w:t>
      </w:r>
      <w:r>
        <w:t xml:space="preserve"> </w:t>
      </w:r>
      <w:r>
        <w:t xml:space="preserve">“California is a special case”</w:t>
      </w:r>
      <w:r>
        <w:t xml:space="preserve"> </w:t>
      </w:r>
      <w:r>
        <w:t xml:space="preserve">skepticism.</w:t>
      </w:r>
    </w:p>
    <w:p>
      <w:r>
        <w:pict>
          <v:rect style="width:0;height:1.5pt" o:hralign="center" o:hrstd="t" o:hr="t"/>
        </w:pict>
      </w:r>
    </w:p>
    <w:bookmarkEnd w:id="18"/>
    <w:bookmarkStart w:id="46" w:name="impact-scenarios"/>
    <w:p>
      <w:pPr>
        <w:pStyle w:val="Heading2"/>
      </w:pPr>
      <w:r>
        <w:t xml:space="preserve">4. Impact scenarios</w:t>
      </w:r>
    </w:p>
    <w:p>
      <w:pPr>
        <w:pStyle w:val="FirstParagraph"/>
      </w:pPr>
      <w:r>
        <w:t xml:space="preserve">We ran five electrification configurations, each priced under</w:t>
      </w:r>
      <w:r>
        <w:t xml:space="preserve"> </w:t>
      </w:r>
      <w:r>
        <w:rPr>
          <w:b/>
          <w:bCs/>
        </w:rPr>
        <w:t xml:space="preserve">eight rate models</w:t>
      </w:r>
      <w:r>
        <w:t xml:space="preserve"> </w:t>
      </w:r>
      <w:r>
        <w:t xml:space="preserve">— two legacy</w:t>
      </w:r>
      <w:r>
        <w:t xml:space="preserve"> </w:t>
      </w:r>
      <w:r>
        <w:t xml:space="preserve">baselines (flat CAGR and ACC), the three WhyWatt scenarios, the CEC death-spiral case, and the two</w:t>
      </w:r>
      <w:r>
        <w:t xml:space="preserve"> </w:t>
      </w:r>
      <w:r>
        <w:t xml:space="preserve">EIA reference lines. In every chart below, the bar is the</w:t>
      </w:r>
      <w:r>
        <w:t xml:space="preserve"> </w:t>
      </w:r>
      <w:r>
        <w:rPr>
          <w:b/>
          <w:bCs/>
        </w:rPr>
        <w:t xml:space="preserve">20-year (or 30-year) net savings from</w:t>
      </w:r>
      <w:r>
        <w:rPr>
          <w:b/>
          <w:bCs/>
        </w:rPr>
        <w:t xml:space="preserve"> </w:t>
      </w:r>
      <w:r>
        <w:rPr>
          <w:b/>
          <w:bCs/>
        </w:rPr>
        <w:t xml:space="preserve">electrifying</w:t>
      </w:r>
      <w:r>
        <w:t xml:space="preserve">, defined as</w:t>
      </w:r>
      <w:r>
        <w:t xml:space="preserve"> </w:t>
      </w:r>
      <w:r>
        <w:rPr>
          <w:rStyle w:val="VerbatimChar"/>
        </w:rPr>
        <w:t xml:space="preserve">do-nothing − journey</w:t>
      </w:r>
      <w:r>
        <w:t xml:space="preserve">:</w:t>
      </w:r>
      <w:r>
        <w:t xml:space="preserve"> </w:t>
      </w:r>
      <w:r>
        <w:rPr>
          <w:b/>
          <w:bCs/>
        </w:rPr>
        <w:t xml:space="preserve">green means the journey costs less than staying</w:t>
      </w:r>
      <w:r>
        <w:rPr>
          <w:b/>
          <w:bCs/>
        </w:rPr>
        <w:t xml:space="preserve"> </w:t>
      </w:r>
      <w:r>
        <w:rPr>
          <w:b/>
          <w:bCs/>
        </w:rPr>
        <w:t xml:space="preserve">on gas; red means it costs more.</w:t>
      </w:r>
      <w:r>
        <w:t xml:space="preserve"> </w:t>
      </w:r>
      <w:r>
        <w:t xml:space="preserve">The same house and the same choices are held fixed within each</w:t>
      </w:r>
      <w:r>
        <w:t xml:space="preserve"> </w:t>
      </w:r>
      <w:r>
        <w:t xml:space="preserve">chart —</w:t>
      </w:r>
      <w:r>
        <w:t xml:space="preserve"> </w:t>
      </w:r>
      <w:r>
        <w:rPr>
          <w:i/>
          <w:iCs/>
        </w:rPr>
        <w:t xml:space="preserve">only the rate assumption changes.</w:t>
      </w:r>
    </w:p>
    <w:p>
      <w:pPr>
        <w:pStyle w:val="BodyText"/>
      </w:pPr>
      <w:r>
        <w:t xml:space="preserve">The snapshot deliberately exercises non-default projection paths (it is a validation snapshot, not</w:t>
      </w:r>
      <w:r>
        <w:t xml:space="preserve"> </w:t>
      </w:r>
      <w:r>
        <w:t xml:space="preserve">the golden run). Reference:</w:t>
      </w:r>
      <w:r>
        <w:t xml:space="preserve"> </w:t>
      </w:r>
      <w:r>
        <w:rPr>
          <w:rStyle w:val="VerbatimChar"/>
        </w:rPr>
        <w:t xml:space="preserve">tests/validation/rate_model_impact.md</w:t>
      </w:r>
      <w:r>
        <w:t xml:space="preserve">.</w:t>
      </w:r>
      <w:r>
        <w:t xml:space="preserve"> </w:t>
      </w:r>
      <w:r>
        <w:rPr>
          <w:b/>
          <w:bCs/>
        </w:rPr>
        <w:t xml:space="preserve">All dollar figures in this</w:t>
      </w:r>
      <w:r>
        <w:rPr>
          <w:b/>
          <w:bCs/>
        </w:rPr>
        <w:t xml:space="preserve"> </w:t>
      </w:r>
      <w:r>
        <w:rPr>
          <w:b/>
          <w:bCs/>
        </w:rPr>
        <w:t xml:space="preserve">section are nominal cumulative operating bills</w:t>
      </w:r>
      <w:r>
        <w:t xml:space="preserve"> </w:t>
      </w:r>
      <w:r>
        <w:t xml:space="preserve">— annual bills summed over the horizon, as they’d</w:t>
      </w:r>
      <w:r>
        <w:t xml:space="preserve"> </w:t>
      </w:r>
      <w:r>
        <w:t xml:space="preserve">appear — not the real 2024$ rate levels of Section 3.</w:t>
      </w:r>
    </w:p>
    <w:bookmarkStart w:id="22" w:name="X5a5f8bfaeb8f3c4c5bf309d5d7d0501f9b1e5f7"/>
    <w:p>
      <w:pPr>
        <w:pStyle w:val="Heading3"/>
      </w:pPr>
      <w:r>
        <w:t xml:space="preserve">4.0 How savings and payback are defined (from the code)</w:t>
      </w:r>
    </w:p>
    <w:p>
      <w:pPr>
        <w:pStyle w:val="FirstParagraph"/>
      </w:pPr>
      <w:r>
        <w:t xml:space="preserve">These definitions are taken directly from the model’s canonical cockpit extraction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_verdict_numbers</w:t>
      </w:r>
      <w:r>
        <w:t xml:space="preserve"> </w:t>
      </w:r>
      <w:r>
        <w:t xml:space="preserve">in</w:t>
      </w:r>
      <w:r>
        <w:t xml:space="preserve"> </w:t>
      </w:r>
      <w:hyperlink r:id="rId19">
        <w:r>
          <w:rPr>
            <w:rStyle w:val="VerbatimChar"/>
          </w:rPr>
          <w:t xml:space="preserve">src/ui/sim.py</w:t>
        </w:r>
      </w:hyperlink>
      <w:r>
        <w:t xml:space="preserve">, reading the</w:t>
      </w:r>
      <w:r>
        <w:t xml:space="preserve"> </w:t>
      </w:r>
      <w:r>
        <w:rPr>
          <w:rStyle w:val="VerbatimChar"/>
        </w:rPr>
        <w:t xml:space="preserve">"Opex Delta"</w:t>
      </w:r>
      <w:r>
        <w:t xml:space="preserve"> </w:t>
      </w:r>
      <w:r>
        <w:t xml:space="preserve">reporter</w:t>
      </w:r>
      <w:r>
        <w:t xml:space="preserve"> </w:t>
      </w:r>
      <w:r>
        <w:t xml:space="preserve">in</w:t>
      </w:r>
      <w:r>
        <w:t xml:space="preserve"> </w:t>
      </w:r>
      <w:hyperlink r:id="rId20">
        <w:r>
          <w:rPr>
            <w:rStyle w:val="VerbatimChar"/>
          </w:rPr>
          <w:t xml:space="preserve">src/model.py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cumulative_opex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VerbatimChar"/>
          </w:rPr>
          <w:t xml:space="preserve">src/journey.py</w:t>
        </w:r>
      </w:hyperlink>
      <w:r>
        <w:t xml:space="preserve">). Two facts up front: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cumulative_opex</w:t>
      </w:r>
      <w:r>
        <w:rPr>
          <w:b/>
          <w:bCs/>
        </w:rPr>
        <w:t xml:space="preserve"> </w:t>
      </w:r>
      <w:r>
        <w:rPr>
          <w:b/>
          <w:bCs/>
        </w:rPr>
        <w:t xml:space="preserve">is operating energy cost only</w:t>
      </w:r>
      <w:r>
        <w:t xml:space="preserve"> </w:t>
      </w:r>
      <w:r>
        <w:t xml:space="preserve">— the sum of each device-slot’s yearly energy</w:t>
      </w:r>
      <w:r>
        <w:t xml:space="preserve"> </w:t>
      </w:r>
      <w:r>
        <w:t xml:space="preserve">bill,</w:t>
      </w:r>
      <w:r>
        <w:t xml:space="preserve"> </w:t>
      </w:r>
      <w:r>
        <w:rPr>
          <w:b/>
          <w:bCs/>
        </w:rPr>
        <w:t xml:space="preserve">net of solar savings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equipment install/capital costs (those are</w:t>
      </w:r>
      <w:r>
        <w:t xml:space="preserve"> </w:t>
      </w:r>
      <w:r>
        <w:t xml:space="preserve">tracked separately as</w:t>
      </w:r>
      <w:r>
        <w:t xml:space="preserve"> </w:t>
      </w:r>
      <w:r>
        <w:rPr>
          <w:rStyle w:val="VerbatimChar"/>
        </w:rPr>
        <w:t xml:space="preserve">capex_events</w:t>
      </w:r>
      <w:r>
        <w:t xml:space="preserve">/</w:t>
      </w:r>
      <w:r>
        <w:rPr>
          <w:rStyle w:val="VerbatimChar"/>
        </w:rPr>
        <w:t xml:space="preserve">capex_by_year</w:t>
      </w:r>
      <w:r>
        <w:t xml:space="preserve">), and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any</w:t>
      </w:r>
      <w:r>
        <w:t xml:space="preserve"> </w:t>
      </w:r>
      <w:r>
        <w:t xml:space="preserve">social/health/carbon adder.</w:t>
      </w:r>
    </w:p>
    <w:p>
      <w:pPr>
        <w:numPr>
          <w:ilvl w:val="0"/>
          <w:numId w:val="1004"/>
        </w:numPr>
      </w:pPr>
      <w:r>
        <w:t xml:space="preserve">Let</w:t>
      </w:r>
      <w:r>
        <w:t xml:space="preserve"> </w:t>
      </w:r>
      <w:r>
        <w:rPr>
          <w:rStyle w:val="VerbatimChar"/>
        </w:rPr>
        <w:t xml:space="preserve">bill_B(t)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bill_J(t)</w:t>
      </w:r>
      <w:r>
        <w:t xml:space="preserve"> </w:t>
      </w:r>
      <w:r>
        <w:t xml:space="preserve">be the do-nothing and journey cumulative operating bills through</w:t>
      </w:r>
      <w:r>
        <w:t xml:space="preserve"> </w:t>
      </w:r>
      <w:r>
        <w:t xml:space="preserve">simulation year</w:t>
      </w:r>
      <w:r>
        <w:t xml:space="preserve"> </w:t>
      </w:r>
      <w:r>
        <w:rPr>
          <w:rStyle w:val="VerbatimChar"/>
        </w:rPr>
        <w:t xml:space="preserve">t</w:t>
      </w:r>
      <w:r>
        <w:t xml:space="preserve">. The model’s headline delta is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Δ(t) = bill_B(t) − bill_J(t)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"Opex Delta"</w:t>
      </w:r>
      <w:r>
        <w:t xml:space="preserve"> </w:t>
      </w:r>
      <w:r>
        <w:t xml:space="preserve">reporter; positive ⇒ the journey is cheaper to run)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Net savings (Δopex)</w:t>
      </w:r>
      <w:r>
        <w:t xml:space="preserve"> </w:t>
      </w:r>
      <w:r>
        <w:t xml:space="preserve">bars in every chart are</w:t>
      </w:r>
      <w:r>
        <w:t xml:space="preserve"> </w:t>
      </w:r>
      <w:r>
        <w:rPr>
          <w:rStyle w:val="VerbatimChar"/>
        </w:rPr>
        <w:t xml:space="preserve">Δ(T)</w:t>
      </w:r>
      <w:r>
        <w:t xml:space="preserve"> </w:t>
      </w:r>
      <w:r>
        <w:t xml:space="preserve">at the final year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Payback year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social cost (this is the value in the snapshot).</w:t>
      </w:r>
      <w:r>
        <w:t xml:space="preserve"> </w:t>
      </w:r>
      <w:r>
        <w:t xml:space="preserve">The reported</w:t>
      </w:r>
      <w:r>
        <w:t xml:space="preserve"> </w:t>
      </w:r>
      <w:r>
        <w:rPr>
          <w:rStyle w:val="VerbatimChar"/>
        </w:rPr>
        <w:t xml:space="preserve">payback_year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first simulation year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(1-indexed) at which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Δ(t)</w:t>
      </w:r>
      <w:r>
        <w:rPr>
          <w:b/>
          <w:bCs/>
        </w:rPr>
        <w:t xml:space="preserve"> </w:t>
      </w:r>
      <w:r>
        <w:rPr>
          <w:b/>
          <w:bCs/>
        </w:rPr>
        <w:t xml:space="preserve">first turns</w:t>
      </w:r>
      <w:r>
        <w:rPr>
          <w:b/>
          <w:bCs/>
        </w:rPr>
        <w:t xml:space="preserve"> </w:t>
      </w:r>
      <w:r>
        <w:rPr>
          <w:b/>
          <w:bCs/>
        </w:rPr>
        <w:t xml:space="preserve">strictly positive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(never):</w:t>
      </w:r>
    </w:p>
    <w:p>
      <w:pPr>
        <w:pStyle w:val="SourceCode"/>
      </w:pPr>
      <w:r>
        <w:rPr>
          <w:rStyle w:val="NormalTok"/>
        </w:rPr>
        <w:t xml:space="preserve">delta_vals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"Opex Delta"</w:t>
      </w:r>
      <w:r>
        <w:rPr>
          <w:rStyle w:val="NormalTok"/>
        </w:rPr>
        <w:t xml:space="preserve">].values                     </w:t>
      </w:r>
      <w:r>
        <w:rPr>
          <w:rStyle w:val="CommentTok"/>
        </w:rPr>
        <w:t xml:space="preserve"># cumulative bill_B(t) − bill_J(t), per year</w:t>
      </w:r>
      <w:r>
        <w:br/>
      </w:r>
      <w:r>
        <w:rPr>
          <w:rStyle w:val="NormalTok"/>
        </w:rPr>
        <w:t xml:space="preserve">payback_yr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(delta_vals)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Because it is defined on the operating-bill delta, it counts</w:t>
      </w:r>
      <w:r>
        <w:t xml:space="preserve"> </w:t>
      </w:r>
      <w:r>
        <w:rPr>
          <w:b/>
          <w:bCs/>
        </w:rPr>
        <w:t xml:space="preserve">only energy bills</w:t>
      </w:r>
      <w:r>
        <w:t xml:space="preserve"> </w:t>
      </w:r>
      <w:r>
        <w:t xml:space="preserve">— never install</w:t>
      </w:r>
      <w:r>
        <w:t xml:space="preserve"> </w:t>
      </w:r>
      <w:r>
        <w:t xml:space="preserve">capital, never social cost. And because</w:t>
      </w:r>
      <w:r>
        <w:t xml:space="preserve"> </w:t>
      </w:r>
      <w:r>
        <w:rPr>
          <w:rStyle w:val="VerbatimChar"/>
        </w:rPr>
        <w:t xml:space="preserve">Δ(t)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guaranteed to be monotonic</w:t>
      </w:r>
      <w:r>
        <w:t xml:space="preserve">, an early</w:t>
      </w:r>
      <w:r>
        <w:t xml:space="preserve"> </w:t>
      </w:r>
      <w:r>
        <w:t xml:space="preserve">payback can later</w:t>
      </w:r>
      <w:r>
        <w:t xml:space="preserve"> </w:t>
      </w:r>
      <w:r>
        <w:rPr>
          <w:i/>
          <w:iCs/>
        </w:rPr>
        <w:t xml:space="preserve">reverse</w:t>
      </w:r>
      <w:r>
        <w:t xml:space="preserve">: the cumulative bill delta can cross zero, go positive, then fall back</w:t>
      </w:r>
      <w:r>
        <w:t xml:space="preserve"> </w:t>
      </w:r>
      <w:r>
        <w:t xml:space="preserve">negative. That is exactly what happens in the full-electrification cases under flat rates below — the</w:t>
      </w:r>
      <w:r>
        <w:t xml:space="preserve"> </w:t>
      </w:r>
      <w:r>
        <w:t xml:space="preserve">cheap early appliance swaps put the journey marginally ahead by year 2, but the later heat-pump and</w:t>
      </w:r>
      <w:r>
        <w:t xml:space="preserve"> </w:t>
      </w:r>
      <w:r>
        <w:t xml:space="preserve">water-heater swaps, expensive to run at a flat ~$0.386/kWh with no rising gas price to escape, pull</w:t>
      </w:r>
      <w:r>
        <w:t xml:space="preserve"> </w:t>
      </w:r>
      <w:r>
        <w:t xml:space="preserve">the cumulative delta back underwater by year 20. So a reported</w:t>
      </w:r>
      <w:r>
        <w:t xml:space="preserve"> </w:t>
      </w:r>
      <w:r>
        <w:rPr>
          <w:rStyle w:val="VerbatimChar"/>
        </w:rPr>
        <w:t xml:space="preserve">payback_year = 2</w:t>
      </w:r>
      <w:r>
        <w:t xml:space="preserve"> </w:t>
      </w:r>
      <w:r>
        <w:t xml:space="preserve">alongside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final Δopex means</w:t>
      </w:r>
      <w:r>
        <w:t xml:space="preserve"> </w:t>
      </w:r>
      <w:r>
        <w:rPr>
          <w:b/>
          <w:bCs/>
        </w:rPr>
        <w:t xml:space="preserve">“paid back early, then reversed”</w:t>
      </w:r>
      <w:r>
        <w:t xml:space="preserve"> </w:t>
      </w:r>
      <w:r>
        <w:t xml:space="preserve">— a transient payback, not a durable</w:t>
      </w:r>
      <w:r>
        <w:t xml:space="preserve"> </w:t>
      </w:r>
      <w:r>
        <w:t xml:space="preserve">one. (This is a genuine artifact of reporting a single payback year for a non-monotonic curve;</w:t>
      </w:r>
      <w:r>
        <w:t xml:space="preserve"> </w:t>
      </w:r>
      <w:r>
        <w:t xml:space="preserve">consider surfacing</w:t>
      </w:r>
      <w:r>
        <w:t xml:space="preserve"> </w:t>
      </w:r>
      <w:r>
        <w:t xml:space="preserve">“durable payback”</w:t>
      </w:r>
      <w:r>
        <w:t xml:space="preserve"> </w:t>
      </w:r>
      <w:r>
        <w:t xml:space="preserve">— the last crossing — alongside it.)</w:t>
      </w:r>
    </w:p>
    <w:p>
      <w:pPr>
        <w:pStyle w:val="BodyText"/>
      </w:pPr>
      <w:r>
        <w:rPr>
          <w:b/>
          <w:bCs/>
        </w:rPr>
        <w:t xml:space="preserve">Net social cost avoided (reported as a horizon total, not a payback).</w:t>
      </w:r>
      <w:r>
        <w:t xml:space="preserve"> </w:t>
      </w:r>
      <w:r>
        <w:t xml:space="preserve">For each year the model values the</w:t>
      </w:r>
      <w:r>
        <w:t xml:space="preserve"> </w:t>
      </w:r>
      <w:r>
        <w:rPr>
          <w:i/>
          <w:iCs/>
        </w:rPr>
        <w:t xml:space="preserve">avoided</w:t>
      </w:r>
      <w:r>
        <w:t xml:space="preserve"> </w:t>
      </w:r>
      <w:r>
        <w:t xml:space="preserve">externality of burning less gas and gasoline:</w:t>
      </w:r>
    </w:p>
    <w:p>
      <w:pPr>
        <w:pStyle w:val="BlockText"/>
      </w:pPr>
      <w:r>
        <w:rPr>
          <w:rStyle w:val="VerbatimChar"/>
        </w:rPr>
        <w:t xml:space="preserve">social_X(t) = gas_therms_X(t) × total_social_rate + gasoline_gallons_X(t) × gasoline_externality_rate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total_social_rate</w:t>
      </w:r>
      <w:r>
        <w:t xml:space="preserve"> </w:t>
      </w:r>
      <w:r>
        <w:t xml:space="preserve">(climate + health, per therm) comes from</w:t>
      </w:r>
      <w:r>
        <w:t xml:space="preserve"> </w:t>
      </w:r>
      <w:r>
        <w:rPr>
          <w:rStyle w:val="VerbatimChar"/>
        </w:rPr>
        <w:t xml:space="preserve">SocialCostConfig</w:t>
      </w:r>
      <w:r>
        <w:t xml:space="preserve">. The reported</w:t>
      </w:r>
      <w:r>
        <w:t xml:space="preserve"> </w:t>
      </w:r>
      <w:r>
        <w:rPr>
          <w:rStyle w:val="VerbatimChar"/>
        </w:rPr>
        <w:t xml:space="preserve">net_social_cost_avoided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sum over all years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social_B(t) − social_J(t)</w:t>
      </w:r>
      <w:r>
        <w:t xml:space="preserve"> </w:t>
      </w:r>
      <w:r>
        <w:t xml:space="preserve">— the total</w:t>
      </w:r>
      <w:r>
        <w:t xml:space="preserve"> </w:t>
      </w:r>
      <w:r>
        <w:t xml:space="preserve">societal cost the journey avoids over the horizon. It is added on top of the bill story, not folded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Δopex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Payback year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social cost (derived; not currently in the snapshot).</w:t>
      </w:r>
      <w:r>
        <w:t xml:space="preserve"> </w:t>
      </w:r>
      <w:r>
        <w:t xml:space="preserve">If the avoided social cost is credited as a benefit, payback is the first year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where the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cumulative position turns positive:</w:t>
      </w:r>
    </w:p>
    <w:p>
      <w:pPr>
        <w:pStyle w:val="BlockText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with Δ(t) + Σ₍s≤t₎ [ social_B(s) − social_J(s) ] &gt; 0</w:t>
      </w:r>
    </w:p>
    <w:p>
      <w:pPr>
        <w:pStyle w:val="FirstParagraph"/>
      </w:pPr>
      <w:r>
        <w:t xml:space="preserve">Because each year’s social term is ≥ 0 (electrifying always burns less gas/gasoline than doing</w:t>
      </w:r>
      <w:r>
        <w:t xml:space="preserve"> </w:t>
      </w:r>
      <w:r>
        <w:t xml:space="preserve">nothing), the with-social payback is</w:t>
      </w:r>
      <w:r>
        <w:t xml:space="preserve"> </w:t>
      </w:r>
      <w:r>
        <w:rPr>
          <w:b/>
          <w:bCs/>
        </w:rPr>
        <w:t xml:space="preserve">always ≤ the bill-only payback</w:t>
      </w:r>
      <w:r>
        <w:t xml:space="preserve"> </w:t>
      </w:r>
      <w:r>
        <w:t xml:space="preserve">— crediting society’s avoided</w:t>
      </w:r>
      <w:r>
        <w:t xml:space="preserve"> </w:t>
      </w:r>
      <w:r>
        <w:t xml:space="preserve">cost can only bring payback</w:t>
      </w:r>
      <w:r>
        <w:t xml:space="preserve"> </w:t>
      </w:r>
      <w:r>
        <w:rPr>
          <w:i/>
          <w:iCs/>
        </w:rPr>
        <w:t xml:space="preserve">forward</w:t>
      </w:r>
      <w:r>
        <w:t xml:space="preserve">, never push it later.</w:t>
      </w:r>
      <w:r>
        <w:t xml:space="preserve"> </w:t>
      </w:r>
      <w:r>
        <w:rPr>
          <w:b/>
          <w:bCs/>
        </w:rPr>
        <w:t xml:space="preserve">[EDITOR NOTE]</w:t>
      </w:r>
      <w:r>
        <w:t xml:space="preserve"> </w:t>
      </w:r>
      <w:r>
        <w:t xml:space="preserve">The tool today reports</w:t>
      </w:r>
      <w:r>
        <w:t xml:space="preserve"> </w:t>
      </w:r>
      <w:r>
        <w:t xml:space="preserve">the bill-only payback and the social total</w:t>
      </w:r>
      <w:r>
        <w:t xml:space="preserve"> </w:t>
      </w:r>
      <w:r>
        <w:rPr>
          <w:i/>
          <w:iCs/>
        </w:rPr>
        <w:t xml:space="preserve">separately</w:t>
      </w:r>
      <w:r>
        <w:t xml:space="preserve">; the combined series above is not yet a field</w:t>
      </w:r>
      <w:r>
        <w:t xml:space="preserve"> </w:t>
      </w:r>
      <w:r>
        <w:t xml:space="preserve">in the snapshot. If a with-social payback is wanted in this report, add that cumulative series to the</w:t>
      </w:r>
      <w:r>
        <w:t xml:space="preserve"> </w:t>
      </w:r>
      <w:r>
        <w:t xml:space="preserve">cockpit extraction (or compute it from the per-year</w:t>
      </w:r>
      <w:r>
        <w:t xml:space="preserve"> </w:t>
      </w:r>
      <w:r>
        <w:rPr>
          <w:rStyle w:val="VerbatimChar"/>
        </w:rPr>
        <w:t xml:space="preserve">Social Total</w:t>
      </w:r>
      <w:r>
        <w:t xml:space="preserve"> </w:t>
      </w:r>
      <w:r>
        <w:t xml:space="preserve">reporters) rather than inferring</w:t>
      </w:r>
      <w:r>
        <w:t xml:space="preserve"> </w:t>
      </w:r>
      <w:r>
        <w:t xml:space="preserve">it by hand.</w:t>
      </w:r>
    </w:p>
    <w:p>
      <w:r>
        <w:pict>
          <v:rect style="width:0;height:1.5pt" o:hralign="center" o:hrstd="t" o:hr="t"/>
        </w:pict>
      </w:r>
    </w:p>
    <w:bookmarkEnd w:id="22"/>
    <w:bookmarkStart w:id="26" w:name="Xaa61689b7eba8145ea54e87bb234509dcb658a1"/>
    <w:p>
      <w:pPr>
        <w:pStyle w:val="Heading3"/>
      </w:pPr>
      <w:r>
        <w:t xml:space="preserve">4.1 HVAC (2027) + Water Heater (2029) only — the partial journey</w:t>
      </w:r>
    </w:p>
    <w:p>
      <w:pPr>
        <w:pStyle w:val="FirstParagraph"/>
      </w:pPr>
      <w:r>
        <w:t xml:space="preserve">The lightest journey: swap the furnace/AC for a heat pump in 2027 and the water heater in 2029, and</w:t>
      </w:r>
      <w:r>
        <w:t xml:space="preserve"> </w:t>
      </w:r>
      <w:r>
        <w:t xml:space="preserve">nothing else. Peak load 78 A → panel status</w:t>
      </w:r>
      <w:r>
        <w:t xml:space="preserve"> </w:t>
      </w:r>
      <w:r>
        <w:rPr>
          <w:b/>
          <w:bCs/>
        </w:rPr>
        <w:t xml:space="preserve">yellow</w:t>
      </w:r>
      <w:r>
        <w:t xml:space="preserve">. 20-year horizon.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Net savings by rate model — HVAC 2027 + WH 2029" title="" id="24" name="Picture"/>
            <a:graphic>
              <a:graphicData uri="http://schemas.openxmlformats.org/drawingml/2006/picture">
                <pic:pic>
                  <pic:nvPicPr>
                    <pic:cNvPr descr="assets/impact_hvac2027_wh202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savings by rate model — HVAC 2027 + WH 2029</w:t>
      </w:r>
    </w:p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This is the scenario where the rate assumption changes the</w:t>
      </w:r>
      <w:r>
        <w:t xml:space="preserve"> </w:t>
      </w:r>
      <w:r>
        <w:rPr>
          <w:i/>
          <w:iCs/>
        </w:rPr>
        <w:t xml:space="preserve">verdict</w:t>
      </w:r>
      <w:r>
        <w:t xml:space="preserve">, not just the</w:t>
      </w:r>
      <w:r>
        <w:t xml:space="preserve"> </w:t>
      </w:r>
      <w:r>
        <w:t xml:space="preserve">size of the win. Under the flat-rate legacy and EIA models the partial journey is roughly</w:t>
      </w:r>
      <w:r>
        <w:t xml:space="preserve"> </w:t>
      </w:r>
      <w:r>
        <w:t xml:space="preserve">break-even to mildly negative (−$14k to +$1k, no clean payback except EIA Pacific’s marginal year-11</w:t>
      </w:r>
      <w:r>
        <w:t xml:space="preserve"> </w:t>
      </w:r>
      <w:r>
        <w:t xml:space="preserve">crossing). But the moment gas is allowed to rise along any CEC-grounded path, the same two swaps save</w:t>
      </w:r>
      <w:r>
        <w:t xml:space="preserve"> </w:t>
      </w:r>
      <w:r>
        <w:rPr>
          <w:b/>
          <w:bCs/>
        </w:rPr>
        <w:t xml:space="preserve">$95k–$180k</w:t>
      </w:r>
      <w:r>
        <w:t xml:space="preserve"> </w:t>
      </w:r>
      <w:r>
        <w:t xml:space="preserve">over 20 years (payback in years 5–7). The do-nothing baseline is what moves: from</w:t>
      </w:r>
      <w:r>
        <w:t xml:space="preserve"> </w:t>
      </w:r>
      <w:r>
        <w:t xml:space="preserve">$132k under flat rates to $313k under Stress.</w:t>
      </w:r>
      <w:r>
        <w:t xml:space="preserve"> </w:t>
      </w:r>
      <w:r>
        <w:rPr>
          <w:b/>
          <w:bCs/>
        </w:rPr>
        <w:t xml:space="preserve">A partial electrification’s case is made or broken</w:t>
      </w:r>
      <w:r>
        <w:rPr>
          <w:b/>
          <w:bCs/>
        </w:rPr>
        <w:t xml:space="preserve"> </w:t>
      </w:r>
      <w:r>
        <w:rPr>
          <w:b/>
          <w:bCs/>
        </w:rPr>
        <w:t xml:space="preserve">entirely by the gas-rate outlook.</w:t>
      </w:r>
    </w:p>
    <w:p>
      <w:r>
        <w:pict>
          <v:rect style="width:0;height:1.5pt" o:hralign="center" o:hrstd="t" o:hr="t"/>
        </w:pict>
      </w:r>
    </w:p>
    <w:bookmarkEnd w:id="26"/>
    <w:bookmarkStart w:id="30" w:name="Xdf55693ad7c2e4bb72ec19fe384f9fd24e73e4e"/>
    <w:p>
      <w:pPr>
        <w:pStyle w:val="Heading3"/>
      </w:pPr>
      <w:r>
        <w:t xml:space="preserve">4.2 Full electrification (HVAC + WH + dryer + cooktop + EV), 200 A panel</w:t>
      </w:r>
    </w:p>
    <w:p>
      <w:pPr>
        <w:pStyle w:val="FirstParagraph"/>
      </w:pPr>
      <w:r>
        <w:t xml:space="preserve">The complete journey on an adequate service. Peak load 119 A → panel status</w:t>
      </w:r>
      <w:r>
        <w:t xml:space="preserve"> </w:t>
      </w:r>
      <w:r>
        <w:rPr>
          <w:b/>
          <w:bCs/>
        </w:rPr>
        <w:t xml:space="preserve">green</w:t>
      </w:r>
      <w:r>
        <w:t xml:space="preserve">. 20-year</w:t>
      </w:r>
      <w:r>
        <w:t xml:space="preserve"> </w:t>
      </w:r>
      <w:r>
        <w:t xml:space="preserve">horizon.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Net savings by rate model — full electrification, 200 A" title="" id="28" name="Picture"/>
            <a:graphic>
              <a:graphicData uri="http://schemas.openxmlformats.org/drawingml/2006/picture">
                <pic:pic>
                  <pic:nvPicPr>
                    <pic:cNvPr descr="assets/impact_full_electrification_2027_2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savings by rate model — full electrification, 200 A</w:t>
      </w:r>
    </w:p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Adding the EV and the remaining appliances roughly doubles the avoided social cost</w:t>
      </w:r>
      <w:r>
        <w:t xml:space="preserve"> </w:t>
      </w:r>
      <w:r>
        <w:t xml:space="preserve">(from ~$20k to ~$42k) and, under every gas-rising model, drives net savings to</w:t>
      </w:r>
      <w:r>
        <w:t xml:space="preserve"> </w:t>
      </w:r>
      <w:r>
        <w:rPr>
          <w:b/>
          <w:bCs/>
        </w:rPr>
        <w:t xml:space="preserve">$117k–$211k</w:t>
      </w:r>
      <w:r>
        <w:t xml:space="preserve">. Under</w:t>
      </w:r>
      <w:r>
        <w:t xml:space="preserve"> </w:t>
      </w:r>
      <w:r>
        <w:t xml:space="preserve">the flat-rate legacy models the</w:t>
      </w:r>
      <w:r>
        <w:t xml:space="preserve"> </w:t>
      </w:r>
      <w:r>
        <w:rPr>
          <w:i/>
          <w:iCs/>
        </w:rPr>
        <w:t xml:space="preserve">operating-bill</w:t>
      </w:r>
      <w:r>
        <w:t xml:space="preserve"> </w:t>
      </w:r>
      <w:r>
        <w:t xml:space="preserve">delta is slightly negative (−$38k to −$39k), because</w:t>
      </w:r>
      <w:r>
        <w:t xml:space="preserve"> </w:t>
      </w:r>
      <w:r>
        <w:t xml:space="preserve">the EV adds electric load that flat rates never reward — yet the model still reports a</w:t>
      </w:r>
      <w:r>
        <w:t xml:space="preserve"> </w:t>
      </w:r>
      <w:r>
        <w:rPr>
          <w:b/>
          <w:bCs/>
        </w:rPr>
        <w:t xml:space="preserve">year-2</w:t>
      </w:r>
      <w:r>
        <w:rPr>
          <w:b/>
          <w:bCs/>
        </w:rPr>
        <w:t xml:space="preserve"> </w:t>
      </w:r>
      <w:r>
        <w:rPr>
          <w:b/>
          <w:bCs/>
        </w:rPr>
        <w:t xml:space="preserve">payback</w:t>
      </w:r>
      <w:r>
        <w:t xml:space="preserve"> </w:t>
      </w:r>
      <w:r>
        <w:t xml:space="preserve">across the board. Per §4.0 this is a</w:t>
      </w:r>
      <w:r>
        <w:t xml:space="preserve"> </w:t>
      </w:r>
      <w:r>
        <w:rPr>
          <w:i/>
          <w:iCs/>
        </w:rPr>
        <w:t xml:space="preserve">transient</w:t>
      </w:r>
      <w:r>
        <w:t xml:space="preserve"> </w:t>
      </w:r>
      <w:r>
        <w:t xml:space="preserve">payback: the cheap early appliance swaps</w:t>
      </w:r>
      <w:r>
        <w:t xml:space="preserve"> </w:t>
      </w:r>
      <w:r>
        <w:t xml:space="preserve">put the journey briefly ahead, then the later heat-pump/WH swaps pull the cumulative bill delta back</w:t>
      </w:r>
      <w:r>
        <w:t xml:space="preserve"> </w:t>
      </w:r>
      <w:r>
        <w:t xml:space="preserve">negative by year 20 (payback year 2, negative final Δopex =</w:t>
      </w:r>
      <w:r>
        <w:t xml:space="preserve"> </w:t>
      </w:r>
      <w:r>
        <w:t xml:space="preserve">“paid back early, then reversed”</w:t>
      </w:r>
      <w:r>
        <w:t xml:space="preserve">). Even</w:t>
      </w:r>
      <w:r>
        <w:t xml:space="preserve"> </w:t>
      </w:r>
      <w:r>
        <w:t xml:space="preserve">the neutral EIA national and Pacific anchors turn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here</w:t>
      </w:r>
      <w:r>
        <w:t xml:space="preserve"> </w:t>
      </w:r>
      <w:r>
        <w:t xml:space="preserve">(+$16k / +$14k).</w:t>
      </w:r>
      <w:r>
        <w:t xml:space="preserve"> </w:t>
      </w:r>
      <w:r>
        <w:rPr>
          <w:b/>
          <w:bCs/>
        </w:rPr>
        <w:t xml:space="preserve">Full electrification is a clear win under every California-grounded rate model and</w:t>
      </w:r>
      <w:r>
        <w:rPr>
          <w:b/>
          <w:bCs/>
        </w:rPr>
        <w:t xml:space="preserve"> </w:t>
      </w:r>
      <w:r>
        <w:rPr>
          <w:b/>
          <w:bCs/>
        </w:rPr>
        <w:t xml:space="preserve">is at worst break-even-to-positive under the neutral federal anchor.</w:t>
      </w:r>
    </w:p>
    <w:p>
      <w:r>
        <w:pict>
          <v:rect style="width:0;height:1.5pt" o:hralign="center" o:hrstd="t" o:hr="t"/>
        </w:pict>
      </w:r>
    </w:p>
    <w:bookmarkEnd w:id="30"/>
    <w:bookmarkStart w:id="37" w:name="X6b7d5492a461fbebcfab48f20c50b55719839dd"/>
    <w:p>
      <w:pPr>
        <w:pStyle w:val="Heading3"/>
      </w:pPr>
      <w:r>
        <w:t xml:space="preserve">4.3 Full electrification + rooftop solar (NEM3) — the headline</w:t>
      </w:r>
    </w:p>
    <w:p>
      <w:pPr>
        <w:pStyle w:val="FirstParagraph"/>
      </w:pPr>
      <w:r>
        <w:t xml:space="preserve">The same full journey with rooftop solar added. Peak load 119 A → panel status</w:t>
      </w:r>
      <w:r>
        <w:t xml:space="preserve"> </w:t>
      </w:r>
      <w:r>
        <w:rPr>
          <w:b/>
          <w:bCs/>
        </w:rPr>
        <w:t xml:space="preserve">green</w:t>
      </w:r>
      <w:r>
        <w:t xml:space="preserve">. 20-year</w:t>
      </w:r>
      <w:r>
        <w:t xml:space="preserve"> </w:t>
      </w:r>
      <w:r>
        <w:t xml:space="preserve">horizon.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Net savings by rate model — full electrification + solar" title="" id="32" name="Picture"/>
            <a:graphic>
              <a:graphicData uri="http://schemas.openxmlformats.org/drawingml/2006/picture">
                <pic:pic>
                  <pic:nvPicPr>
                    <pic:cNvPr descr="assets/impact_full_electrification_sola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savings by rate model — full electrification + solar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Cumulative bills, journey vs do-nothing — full electrification + solar" title="" id="35" name="Picture"/>
            <a:graphic>
              <a:graphicData uri="http://schemas.openxmlformats.org/drawingml/2006/picture">
                <pic:pic>
                  <pic:nvPicPr>
                    <pic:cNvPr descr="assets/bills_full_electrification_sola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bills, journey vs do-nothing — full electrification + solar</w:t>
      </w:r>
    </w:p>
    <w:p>
      <w:pPr>
        <w:pStyle w:val="BodyText"/>
      </w:pPr>
      <w:r>
        <w:rPr>
          <w:b/>
          <w:bCs/>
        </w:rPr>
        <w:t xml:space="preserve">Key finding — this is the report’s punchline.</w:t>
      </w:r>
      <w:r>
        <w:t xml:space="preserve"> </w:t>
      </w:r>
      <w:r>
        <w:t xml:space="preserve">With solar, the journey wins under</w:t>
      </w:r>
      <w:r>
        <w:t xml:space="preserve"> </w:t>
      </w:r>
      <w:r>
        <w:rPr>
          <w:b/>
          <w:bCs/>
        </w:rPr>
        <w:t xml:space="preserve">every single</w:t>
      </w:r>
      <w:r>
        <w:rPr>
          <w:b/>
          <w:bCs/>
        </w:rPr>
        <w:t xml:space="preserve"> </w:t>
      </w:r>
      <w:r>
        <w:rPr>
          <w:b/>
          <w:bCs/>
        </w:rPr>
        <w:t xml:space="preserve">rate model, without exception</w:t>
      </w:r>
      <w:r>
        <w:t xml:space="preserve">, including the most conservative flat-rate legacy case (+$93k) and</w:t>
      </w:r>
      <w:r>
        <w:t xml:space="preserve"> </w:t>
      </w:r>
      <w:r>
        <w:t xml:space="preserve">both neutral EIA anchors (+$53k national, +$60k Pacific). Payback is</w:t>
      </w:r>
      <w:r>
        <w:t xml:space="preserve"> </w:t>
      </w:r>
      <w:r>
        <w:rPr>
          <w:b/>
          <w:bCs/>
        </w:rPr>
        <w:t xml:space="preserve">year 1</w:t>
      </w:r>
      <w:r>
        <w:t xml:space="preserve"> </w:t>
      </w:r>
      <w:r>
        <w:t xml:space="preserve">everywhere. The</w:t>
      </w:r>
      <w:r>
        <w:t xml:space="preserve"> </w:t>
      </w:r>
      <w:r>
        <w:t xml:space="preserve">journey’s cumulative bill collapses to $14k–$46k while do-nothing runs $67k–$313k (Figure, lower</w:t>
      </w:r>
      <w:r>
        <w:t xml:space="preserve"> </w:t>
      </w:r>
      <w:r>
        <w:t xml:space="preserve">panel). This is the concrete backing for the anchor thesis in Section 3:</w:t>
      </w:r>
      <w:r>
        <w:t xml:space="preserve"> </w:t>
      </w:r>
      <w:r>
        <w:rPr>
          <w:i/>
          <w:iCs/>
        </w:rPr>
        <w:t xml:space="preserve">you do not need to believe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California’s gas death spiral for electrification-plus-solar to pay — it pays even at flat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rates.</w:t>
      </w:r>
    </w:p>
    <w:p>
      <w:r>
        <w:pict>
          <v:rect style="width:0;height:1.5pt" o:hralign="center" o:hrstd="t" o:hr="t"/>
        </w:pict>
      </w:r>
    </w:p>
    <w:bookmarkEnd w:id="37"/>
    <w:bookmarkStart w:id="41" w:name="X0aa456efc961f2e0da2fae5dad0eec655e9fa17"/>
    <w:p>
      <w:pPr>
        <w:pStyle w:val="Heading3"/>
      </w:pPr>
      <w:r>
        <w:t xml:space="preserve">4.4 Full electrification on a 100 A service — the panel-upgrade trigger</w:t>
      </w:r>
    </w:p>
    <w:p>
      <w:pPr>
        <w:pStyle w:val="FirstParagraph"/>
      </w:pPr>
      <w:r>
        <w:t xml:space="preserve">Identical to 4.2 in every dollar, but on an undersized 100 A service. Peak load 119 A → panel status</w:t>
      </w:r>
      <w:r>
        <w:t xml:space="preserve"> </w:t>
      </w:r>
      <w:r>
        <w:rPr>
          <w:b/>
          <w:bCs/>
        </w:rPr>
        <w:t xml:space="preserve">red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Net savings by rate model — full electrification, 100 A (panel upgrade)" title="" id="39" name="Picture"/>
            <a:graphic>
              <a:graphicData uri="http://schemas.openxmlformats.org/drawingml/2006/picture">
                <pic:pic>
                  <pic:nvPicPr>
                    <pic:cNvPr descr="assets/impact_panel_upgrade_100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savings by rate model — full electrification, 100 A (panel upgrade)</w:t>
      </w:r>
    </w:p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The operating economics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 the 200 A case — the rate models don’t</w:t>
      </w:r>
      <w:r>
        <w:t xml:space="preserve"> </w:t>
      </w:r>
      <w:r>
        <w:t xml:space="preserve">know about the panel, because peak load is a function of</w:t>
      </w:r>
      <w:r>
        <w:t xml:space="preserve"> </w:t>
      </w:r>
      <w:r>
        <w:rPr>
          <w:i/>
          <w:iCs/>
        </w:rPr>
        <w:t xml:space="preserve">use</w:t>
      </w:r>
      <w:r>
        <w:t xml:space="preserve">, not</w:t>
      </w:r>
      <w:r>
        <w:t xml:space="preserve"> </w:t>
      </w:r>
      <w:r>
        <w:rPr>
          <w:i/>
          <w:iCs/>
        </w:rPr>
        <w:t xml:space="preserve">price</w:t>
      </w:r>
      <w:r>
        <w:t xml:space="preserve">. What changes is the</w:t>
      </w:r>
      <w:r>
        <w:t xml:space="preserve"> </w:t>
      </w:r>
      <w:r>
        <w:rPr>
          <w:b/>
          <w:bCs/>
        </w:rPr>
        <w:t xml:space="preserve">red panel status</w:t>
      </w:r>
      <w:r>
        <w:t xml:space="preserve">: a 100 A service forces a panel upgrade, a one-time capital cost and a</w:t>
      </w:r>
      <w:r>
        <w:t xml:space="preserve"> </w:t>
      </w:r>
      <w:r>
        <w:t xml:space="preserve">feasibility flag that the operating-bill figures here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include. The takeaway for advocates</w:t>
      </w:r>
      <w:r>
        <w:t xml:space="preserve"> </w:t>
      </w:r>
      <w:r>
        <w:t xml:space="preserve">is to separate the two conversations: the long-run bill story is unchanged, but this household has an</w:t>
      </w:r>
      <w:r>
        <w:t xml:space="preserve"> </w:t>
      </w:r>
      <w:r>
        <w:t xml:space="preserve">up-front hurdle to plan and finance.</w:t>
      </w:r>
      <w:r>
        <w:t xml:space="preserve"> </w:t>
      </w:r>
      <w:r>
        <w:rPr>
          <w:b/>
          <w:bCs/>
        </w:rPr>
        <w:t xml:space="preserve">[EDITOR NOTE]</w:t>
      </w:r>
      <w:r>
        <w:t xml:space="preserve"> </w:t>
      </w:r>
      <w:r>
        <w:t xml:space="preserve">Consider adding the panel-upgrade capital cost</w:t>
      </w:r>
      <w:r>
        <w:t xml:space="preserve"> </w:t>
      </w:r>
      <w:r>
        <w:t xml:space="preserve">explicitly so this scenario’s total-cost story differs from 4.2 as it should.</w:t>
      </w:r>
    </w:p>
    <w:p>
      <w:r>
        <w:pict>
          <v:rect style="width:0;height:1.5pt" o:hralign="center" o:hrstd="t" o:hr="t"/>
        </w:pict>
      </w:r>
    </w:p>
    <w:bookmarkEnd w:id="41"/>
    <w:bookmarkStart w:id="45" w:name="X70451db9d327f2447e1ebace796a34429351f7b"/>
    <w:p>
      <w:pPr>
        <w:pStyle w:val="Heading3"/>
      </w:pPr>
      <w:r>
        <w:t xml:space="preserve">4.5 HVAC + WH only, over a 30-year horizon — time amplifies the spiral</w:t>
      </w:r>
    </w:p>
    <w:p>
      <w:pPr>
        <w:pStyle w:val="FirstParagraph"/>
      </w:pPr>
      <w:r>
        <w:t xml:space="preserve">The same partial journey as 4.1, extended to 30 years (the projection holds flat past 2050). Peak</w:t>
      </w:r>
      <w:r>
        <w:t xml:space="preserve"> </w:t>
      </w:r>
      <w:r>
        <w:t xml:space="preserve">load 78 A → panel status</w:t>
      </w:r>
      <w:r>
        <w:t xml:space="preserve"> </w:t>
      </w:r>
      <w:r>
        <w:rPr>
          <w:b/>
          <w:bCs/>
        </w:rPr>
        <w:t xml:space="preserve">yellow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Net savings by rate model — HVAC + WH, 30-year horizon" title="" id="43" name="Picture"/>
            <a:graphic>
              <a:graphicData uri="http://schemas.openxmlformats.org/drawingml/2006/picture">
                <pic:pic>
                  <pic:nvPicPr>
                    <pic:cNvPr descr="assets/impact_hvac2027_wh2029_30y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savings by rate model — HVAC + WH, 30-year horizon</w:t>
      </w:r>
    </w:p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Lengthening the horizon does not change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any result but hugely</w:t>
      </w:r>
      <w:r>
        <w:t xml:space="preserve"> </w:t>
      </w:r>
      <w:r>
        <w:t xml:space="preserve">amplifies its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wherever gas rises. Do-nothing under Stress balloons to</w:t>
      </w:r>
      <w:r>
        <w:t xml:space="preserve"> </w:t>
      </w:r>
      <w:r>
        <w:rPr>
          <w:b/>
          <w:bCs/>
        </w:rPr>
        <w:t xml:space="preserve">$1.02M</w:t>
      </w:r>
      <w:r>
        <w:t xml:space="preserve"> </w:t>
      </w:r>
      <w:r>
        <w:t xml:space="preserve">and under</w:t>
      </w:r>
      <w:r>
        <w:t xml:space="preserve"> </w:t>
      </w:r>
      <w:r>
        <w:t xml:space="preserve">the CEC extreme to</w:t>
      </w:r>
      <w:r>
        <w:t xml:space="preserve"> </w:t>
      </w:r>
      <w:r>
        <w:rPr>
          <w:b/>
          <w:bCs/>
        </w:rPr>
        <w:t xml:space="preserve">$1.34M</w:t>
      </w:r>
      <w:r>
        <w:t xml:space="preserve">, pushing net savings to</w:t>
      </w:r>
      <w:r>
        <w:t xml:space="preserve"> </w:t>
      </w:r>
      <w:r>
        <w:rPr>
          <w:b/>
          <w:bCs/>
        </w:rPr>
        <w:t xml:space="preserve">$721k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$1.01M</w:t>
      </w:r>
      <w:r>
        <w:t xml:space="preserve"> </w:t>
      </w:r>
      <w:r>
        <w:t xml:space="preserve">respectively — while the</w:t>
      </w:r>
      <w:r>
        <w:t xml:space="preserve"> </w:t>
      </w:r>
      <w:r>
        <w:t xml:space="preserve">flat-rate models stay near break-even, exactly as at 20 years.</w:t>
      </w:r>
      <w:r>
        <w:t xml:space="preserve"> </w:t>
      </w:r>
      <w:r>
        <w:rPr>
          <w:b/>
          <w:bCs/>
        </w:rPr>
        <w:t xml:space="preserve">The longer the horizon, the more the</w:t>
      </w:r>
      <w:r>
        <w:rPr>
          <w:b/>
          <w:bCs/>
        </w:rPr>
        <w:t xml:space="preserve"> </w:t>
      </w:r>
      <w:r>
        <w:rPr>
          <w:b/>
          <w:bCs/>
        </w:rPr>
        <w:t xml:space="preserve">scenario choice dominates the outcome</w:t>
      </w:r>
      <w:r>
        <w:t xml:space="preserve"> </w:t>
      </w:r>
      <w:r>
        <w:t xml:space="preserve">— which is the strongest possible argument for showing a range</w:t>
      </w:r>
      <w:r>
        <w:t xml:space="preserve"> </w:t>
      </w:r>
      <w:r>
        <w:t xml:space="preserve">rather than a single rate.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Across five electrification configurations and eight rate models, one pattern holds: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rate assumption, not the hardware, decides the answer for partial journeys.</w:t>
      </w:r>
      <w:r>
        <w:t xml:space="preserve"> </w:t>
      </w:r>
      <w:r>
        <w:t xml:space="preserve">HVAC + water</w:t>
      </w:r>
      <w:r>
        <w:t xml:space="preserve"> </w:t>
      </w:r>
      <w:r>
        <w:t xml:space="preserve">heater alone is break-even under flat rates and a $95k–$180k winner under any California-grounded</w:t>
      </w:r>
      <w:r>
        <w:t xml:space="preserve"> </w:t>
      </w:r>
      <w:r>
        <w:t xml:space="preserve">gas outlook. You cannot answer</w:t>
      </w:r>
      <w:r>
        <w:t xml:space="preserve"> </w:t>
      </w:r>
      <w:r>
        <w:t xml:space="preserve">“should I electrify?”</w:t>
      </w:r>
      <w:r>
        <w:t xml:space="preserve"> </w:t>
      </w:r>
      <w:r>
        <w:t xml:space="preserve">without first choosing a rate story — which is</w:t>
      </w:r>
      <w:r>
        <w:t xml:space="preserve"> </w:t>
      </w:r>
      <w:r>
        <w:t xml:space="preserve">why WhyWatt refuses to ship a single mystery percentage.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Full electrification is robust.</w:t>
      </w:r>
      <w:r>
        <w:t xml:space="preserve"> </w:t>
      </w:r>
      <w:r>
        <w:t xml:space="preserve">Under every California-grounded model it saves $117k–$211k over</w:t>
      </w:r>
      <w:r>
        <w:t xml:space="preserve"> </w:t>
      </w:r>
      <w:r>
        <w:t xml:space="preserve">20 years, and even at the neutral federal anchor it is break-even to positive.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Solar makes the answer unanimous.</w:t>
      </w:r>
      <w:r>
        <w:t xml:space="preserve"> </w:t>
      </w:r>
      <w:r>
        <w:t xml:space="preserve">With rooftop solar, electrification wins under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rate</w:t>
      </w:r>
      <w:r>
        <w:t xml:space="preserve"> </w:t>
      </w:r>
      <w:r>
        <w:t xml:space="preserve">model tested — flat, federal, or spiraling — with year-1 payback. This is the defensible headline:</w:t>
      </w:r>
      <w:r>
        <w:t xml:space="preserve"> </w:t>
      </w:r>
      <w:r>
        <w:t xml:space="preserve">the recommendation survives the most skeptical, non-California rate assumption available.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Horizon and panel are separate axes.</w:t>
      </w:r>
      <w:r>
        <w:t xml:space="preserve"> </w:t>
      </w:r>
      <w:r>
        <w:t xml:space="preserve">A longer horizon amplifies the gas-rate divergence</w:t>
      </w:r>
      <w:r>
        <w:t xml:space="preserve"> </w:t>
      </w:r>
      <w:r>
        <w:t xml:space="preserve">(30-year savings reach ~$0.7M–$1.0M under the stress and CEC cases); an undersized panel adds a</w:t>
      </w:r>
      <w:r>
        <w:t xml:space="preserve"> </w:t>
      </w:r>
      <w:r>
        <w:t xml:space="preserve">one-time capital hurdle that leaves the long-run bill story unchanged.</w:t>
      </w:r>
    </w:p>
    <w:p>
      <w:pPr>
        <w:pStyle w:val="FirstParagraph"/>
      </w:pPr>
      <w:r>
        <w:t xml:space="preserve">The overarching message is the one Section 1 opened with:</w:t>
      </w:r>
      <w:r>
        <w:t xml:space="preserve"> </w:t>
      </w:r>
      <w:r>
        <w:rPr>
          <w:b/>
          <w:bCs/>
        </w:rPr>
        <w:t xml:space="preserve">the future rate cannot honestly be a</w:t>
      </w:r>
      <w:r>
        <w:rPr>
          <w:b/>
          <w:bCs/>
        </w:rPr>
        <w:t xml:space="preserve"> </w:t>
      </w:r>
      <w:r>
        <w:rPr>
          <w:b/>
          <w:bCs/>
        </w:rPr>
        <w:t xml:space="preserve">single number, so the tool’s job is to show the range and demonstrate that the electrification case</w:t>
      </w:r>
      <w:r>
        <w:rPr>
          <w:b/>
          <w:bCs/>
        </w:rPr>
        <w:t xml:space="preserve"> </w:t>
      </w:r>
      <w:r>
        <w:rPr>
          <w:b/>
          <w:bCs/>
        </w:rPr>
        <w:t xml:space="preserve">holds across it.</w:t>
      </w:r>
      <w:r>
        <w:t xml:space="preserve"> </w:t>
      </w:r>
      <w:r>
        <w:t xml:space="preserve">For the conservative, sceptic-proof version of that case, anchor to the neutral US</w:t>
      </w:r>
      <w:r>
        <w:t xml:space="preserve"> </w:t>
      </w:r>
      <w:r>
        <w:t xml:space="preserve">EIA average and add solar — the answer is still yes.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Appendix — reproduce the figures:</w:t>
      </w:r>
    </w:p>
    <w:p>
      <w:pPr>
        <w:pStyle w:val="SourceCode"/>
      </w:pPr>
      <w:r>
        <w:rPr>
          <w:rStyle w:val="ExtensionTok"/>
        </w:rPr>
        <w:t xml:space="preserve">.venv/Scripts/python.exe</w:t>
      </w:r>
      <w:r>
        <w:rPr>
          <w:rStyle w:val="NormalTok"/>
        </w:rPr>
        <w:t xml:space="preserve"> scripts/build_guide_charts.py          </w:t>
      </w:r>
      <w:r>
        <w:rPr>
          <w:rStyle w:val="CommentTok"/>
        </w:rPr>
        <w:t xml:space="preserve"># Figure 1 (rate curves)</w:t>
      </w:r>
      <w:r>
        <w:br/>
      </w:r>
      <w:r>
        <w:rPr>
          <w:rStyle w:val="ExtensionTok"/>
        </w:rPr>
        <w:t xml:space="preserve">.venv/Scripts/python.exe</w:t>
      </w:r>
      <w:r>
        <w:rPr>
          <w:rStyle w:val="NormalTok"/>
        </w:rPr>
        <w:t xml:space="preserve"> scripts/build_impact_report_charts.py  </w:t>
      </w:r>
      <w:r>
        <w:rPr>
          <w:rStyle w:val="CommentTok"/>
        </w:rPr>
        <w:t xml:space="preserve"># Section 4 bar charts</w:t>
      </w:r>
    </w:p>
    <w:p>
      <w:pPr>
        <w:pStyle w:val="FirstParagraph"/>
      </w:pPr>
      <w:r>
        <w:rPr>
          <w:i/>
          <w:iCs/>
        </w:rPr>
        <w:t xml:space="preserve">Underlying 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tests/validation/rate_model_impact.json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...md</w:t>
      </w:r>
      <w:r>
        <w:rPr>
          <w:i/>
          <w:iCs/>
        </w:rP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15" Target="media/rId15.png" /><Relationship Type="http://schemas.openxmlformats.org/officeDocument/2006/relationships/hyperlink" Id="rId21" Target="../../src/journey.py" TargetMode="External" /><Relationship Type="http://schemas.openxmlformats.org/officeDocument/2006/relationships/hyperlink" Id="rId20" Target="../../src/model.py" TargetMode="External" /><Relationship Type="http://schemas.openxmlformats.org/officeDocument/2006/relationships/hyperlink" Id="rId19" Target="../../src/ui/sim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src/journey.py" TargetMode="External" /><Relationship Type="http://schemas.openxmlformats.org/officeDocument/2006/relationships/hyperlink" Id="rId20" Target="../../src/model.py" TargetMode="External" /><Relationship Type="http://schemas.openxmlformats.org/officeDocument/2006/relationships/hyperlink" Id="rId19" Target="../../src/ui/sim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2026-09-10T01:20:11Z</dcterms:created>
  <dcterms:modified xsi:type="dcterms:W3CDTF">2026-09-10T01:20:11Z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