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880"/>
      </w:pP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1B3A6B"/>
          <w:sz w:val="72"/>
          <w:szCs w:val="72"/>
        </w:rPr>
        <w:t xml:space="preserve">⚡ WhyWatt?</w:t>
      </w:r>
    </w:p>
    <w:p>
      <w:pPr>
        <w:spacing w:after="200"/>
        <w:jc w:val="center"/>
      </w:pPr>
      <w:r>
        <w:rPr>
          <w:rFonts w:ascii="Arial" w:cs="Arial" w:eastAsia="Arial" w:hAnsi="Arial"/>
          <w:color w:val="2D6FBF"/>
          <w:sz w:val="36"/>
          <w:szCs w:val="36"/>
        </w:rPr>
        <w:t xml:space="preserve">Home Electrification Simulator</w:t>
      </w:r>
    </w:p>
    <w:p>
      <w:pPr>
        <w:spacing w:after="560"/>
        <w:jc w:val="center"/>
      </w:pPr>
      <w:r>
        <w:rPr>
          <w:rFonts w:ascii="Arial" w:cs="Arial" w:eastAsia="Arial" w:hAnsi="Arial"/>
          <w:b/>
          <w:bCs/>
          <w:color w:val="1B3A6B"/>
          <w:sz w:val="48"/>
          <w:szCs w:val="48"/>
        </w:rPr>
        <w:t xml:space="preserve">Phase 2 Development Specification</w:t>
      </w:r>
    </w:p>
    <w:tbl>
      <w:tblPr>
        <w:tblW w:type="dxa" w:w="57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</w:tblGrid>
      <w:tr>
        <w:tc>
          <w:tcPr>
            <w:tcW w:type="dxa" w:w="5760"/>
            <w:tcBorders>
              <w:top w:val="single" w:color="F5A623" w:sz="8"/>
              <w:left w:val="single" w:color="F5A623" w:sz="8"/>
              <w:bottom w:val="single" w:color="F5A623" w:sz="8"/>
              <w:right w:val="single" w:color="F5A623" w:sz="8"/>
            </w:tcBorders>
            <w:shd w:fill="EEF4FC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Status: Ready for implementation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Follows: Phase 1 complete · 42 unit tests · Solara UI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Project rename: HES → WhyWatt? throughout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Last updated: May 2026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Table of 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0.  Branding Updates</w:t>
      </w:r>
    </w:p>
    <w:p>
      <w:pPr>
        <w:spacing w:after="1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Complete these first — zero logic risk.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Rename tool to WhyWatt? throughout: app.py title, page header, solara.Title()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Add logo placeholder: docs/assets/whywatt_logo.png — drop-in when final art is ready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Add group logo placeholder: docs/assets/group_logo.png — displayed in UI footer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In app.py: add footer bar with group logo img tag (graceful fallback if file missing)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Update README.md and all doc headers to WhyWatt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D6FBF" w:sz="6"/>
              <w:left w:val="single" w:color="2D6FBF" w:sz="18"/>
              <w:bottom w:val="single" w:color="2D6FBF" w:sz="6"/>
              <w:right w:val="single" w:color="2D6FBF" w:sz="6"/>
            </w:tcBorders>
            <w:shd w:fill="EEF4FC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B3A6B"/>
                <w:sz w:val="22"/>
                <w:szCs w:val="22"/>
              </w:rPr>
              <w:t xml:space="preserve">Tests: none needed for Objective 0 — visual only.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1.  Overview</w:t>
      </w:r>
    </w:p>
    <w:p>
      <w:pPr>
        <w:spacing w:after="1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Phase 1 established the simulation architecture: Mesa agents, annual step loop, dual JSON home configs, Solara UI, and 42 unit tests. All energy quantities used MMBtu as a single internal unit — a deliberate simplification to get the core running.</w:t>
      </w:r>
    </w:p>
    <w:p>
      <w:pPr>
        <w:spacing w:after="1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Phase 2 has three goals: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Journey model: Replace the static two-home comparison with a single home that transitions device-by-device over time. Users configure a swap schedule. A "do nothing" baseline runs in parallel automatically.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Physical accuracy: Replace MMBtu internals with natively-typed energy models (kWh for electrical, therms for gas) using ENERGY STAR, DOE, and AGA reference data. HVAC and water heating use monthly sub-calculations driven by TMY3 climate data.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Real rate data: Ground energy prices in actual CPUC/PG&amp;E published tariff rates with historically-calibrated escalation scenarios.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D6FBF" w:sz="6"/>
              <w:left w:val="single" w:color="2D6FBF" w:sz="18"/>
              <w:bottom w:val="single" w:color="2D6FBF" w:sz="6"/>
              <w:right w:val="single" w:color="2D6FBF" w:sz="6"/>
            </w:tcBorders>
            <w:shd w:fill="EEF4FC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B3A6B"/>
                <w:sz w:val="22"/>
                <w:szCs w:val="22"/>
              </w:rPr>
              <w:t xml:space="preserve">What does NOT change: the Mesa simulation structure, annual step model, Solara UI layout, and the CapEx replacement model.
No backward compatibility required. Phase 2 replaces MMBtu code cleanly. Old JSON configs, old unit tests, and the annual_load / fuel_mix fields are all dropped.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2.  Core Architecture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D6FBF"/>
          <w:sz w:val="26"/>
          <w:szCs w:val="26"/>
        </w:rPr>
        <w:t xml:space="preserve">2.1  The Journey Model</w:t>
      </w:r>
    </w:p>
    <w:p>
      <w:pPr>
        <w:spacing w:after="1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The central UX insight: homeowners think in terms of a journey — swapping appliances one at a time over years, not flipping a switch to a fully electrified home overnight.</w:t>
      </w:r>
    </w:p>
    <w:p>
      <w:pPr>
        <w:spacing w:after="1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Two JourneyHome instances run in parallel: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F5A623" w:sz="12"/>
              <w:bottom w:val="single" w:color="DDDDDD" w:sz="4"/>
              <w:right w:val="single" w:color="DDDDDD" w:sz="4"/>
            </w:tcBorders>
            <w:shd w:fill="F0F0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JourneyHome A — "Your journey"     swap_years set by user per device slot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JourneyHome B — "Do nothing"       all swap_years = None  (gas forever)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The gap between the two cumulative cost lines IS the value of the journey. The "do nothing" line is not flat — gas prices escalate and gas appliances trigger CapEx replacements at end-of-life. This is the core advocacy message.</w:t>
      </w:r>
    </w:p>
    <w:p>
      <w:pPr>
        <w:spacing w:after="80"/>
      </w:pPr>
      <w:r>
        <w:t xml:space="preserve"/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DeviceSlot — the unit of configuration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F5A623" w:sz="12"/>
              <w:bottom w:val="single" w:color="DDDDDD" w:sz="4"/>
              <w:right w:val="single" w:color="DDDDDD" w:sz="4"/>
            </w:tcBorders>
            <w:shd w:fill="F0F0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@dataclass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class DeviceSlot: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name: str               # "HVAC", "Water Heater", "Dryer" etc.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category: str           # CATEGORY_ORDER key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baseline_device: EnergyConsumer  # gas or legacy electric device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electric_device: EnergyConsumer  # replacement electric device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swap_year: int | None   # year swap occurs; None = never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install_cost: float     # gross install cost of electric device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rebate: float           # IRA / TECH Clean CA / utility rebate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@property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def net_install_cost(self):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   return self.install_cost - self.rebate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Annual step logic per slot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F5A623" w:sz="12"/>
              <w:bottom w:val="single" w:color="DDDDDD" w:sz="4"/>
              <w:right w:val="single" w:color="DDDDDD" w:sz="4"/>
            </w:tcBorders>
            <w:shd w:fill="F0F0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def step(self, current_year, monthly_rates):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if self.swap_year is None or current_year &lt; self.swap_year: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   active = self.baseline_device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else: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   active = self.electric_device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active.step(monthly_rates)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# CapEx: swap event OR end-of-life replacement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if current_year == self.swap_year: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   self.capex_events.append((current_year, self.net_install_cost))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elif active.age &gt;= active.lifespan: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   self.capex_events.append((current_year, active.installation_cost))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   active.age = 0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D6FBF"/>
          <w:sz w:val="26"/>
          <w:szCs w:val="26"/>
        </w:rPr>
        <w:t xml:space="preserve">2.2  Device Class Hierarchy — Three Computation Methods</w:t>
      </w:r>
    </w:p>
    <w:p>
      <w:pPr>
        <w:spacing w:after="1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All devices speak the same language to JourneyHome: a (12,) numpy array of monthly consumption in native units. The difference is only HOW that array is computed.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F5A623" w:sz="12"/>
              <w:bottom w:val="single" w:color="DDDDDD" w:sz="4"/>
              <w:right w:val="single" w:color="DDDDDD" w:sz="4"/>
            </w:tcBorders>
            <w:shd w:fill="F0F0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EnergyConsumer  (abstract base — lifespan, CapEx, history schema)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REQUIRED interface: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monthly_consumption() → np.ndarray shape (12,)   kWh or therms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annual_consumption()  → float                    sum of monthly array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monthly_cost(rates)   → np.ndarray shape (12,)   consumption × rate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fuel_type: str                                   "electricity" or "gas"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SeasonalDevice           flat annual total × seasonality weights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GasDryer             therms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HeatPumpDryer        kWh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Dishwasher           kWh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ElectricOven / InductionCooktop  kWh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GasCooktop           therms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└── LightsAndPlugs       kWh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PhysicsDevice            monthly values from climate formula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GasFurnace           therms[m] = hdd[m]×24×UA / (AFUE×100k)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HeatPumpHVAC         kWh[m] = hdd[m]×24×UA/(COP×3412)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│                               + cdd[m]×24×UA/(SEER×3412)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GasWaterHeater       therms[m] = gal×days[m]×8.33×ΔT[m]×0.00001/UEF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└── HeatPumpWaterHeater  kWh[m]   = gal×days[m]×8.33×ΔT[m]×0.000293/UEF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└── ScheduleDevice           monthly values supplied directly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├── EVCharger            kWh[m] — default, upgradeable to odometer data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├── SolarPV (Phase 3)    kWh[m] from PVWatts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└── CustomDevice         any future device with arbitrary monthly profile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The upgrade path: a device starts as SeasonalDevice (simple), upgrades to PhysicsDevice or ScheduleDevice (accurate) without changing the interface. JourneyHome never needs to know which method was used.</w:t>
      </w:r>
    </w:p>
    <w:p>
      <w:pPr>
        <w:spacing w:after="8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D6FBF"/>
          <w:sz w:val="26"/>
          <w:szCs w:val="26"/>
        </w:rPr>
        <w:t xml:space="preserve">2.3  Monthly Rate Architecture — CPUC/PG&amp;E Data</w:t>
      </w:r>
    </w:p>
    <w:p>
      <w:pPr>
        <w:spacing w:after="1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PG&amp;E publishes rates per effective date range (not calendar months), changing multiple times per year per CPUC advice letters.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400"/>
        <w:gridCol w:w="3160"/>
      </w:tblGrid>
      <w:tr>
        <w:trPr>
          <w:tblHeader/>
        </w:trPr>
        <w:tc>
          <w:tcPr>
            <w:tcW w:type="dxa" w:w="38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4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1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PG&amp;E residential elec — Jun 2025</w:t>
            </w:r>
          </w:p>
        </w:tc>
        <w:tc>
          <w:tcPr>
            <w:tcW w:type="dxa" w:w="2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$0.386/kWh</w:t>
            </w:r>
          </w:p>
        </w:tc>
        <w:tc>
          <w:tcPr>
            <w:tcW w:type="dxa" w:w="31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Cal Advocates Q2 2025</w:t>
            </w:r>
          </w:p>
        </w:tc>
      </w:tr>
      <w:tr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PG&amp;E elec 3-yr CAGR (Jan 2022–Jun 2025)</w:t>
            </w:r>
          </w:p>
        </w:tc>
        <w:tc>
          <w:tcPr>
            <w:tcW w:type="dxa" w:w="2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~10.4%/yr</w:t>
            </w:r>
          </w:p>
        </w:tc>
        <w:tc>
          <w:tcPr>
            <w:tcW w:type="dxa" w:w="31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Cal Advocates Q2 2025</w:t>
            </w:r>
          </w:p>
        </w:tc>
      </w:tr>
      <w:tr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PG&amp;E elec 10-yr CAGR (Jan 2015–Jun 2025)</w:t>
            </w:r>
          </w:p>
        </w:tc>
        <w:tc>
          <w:tcPr>
            <w:tcW w:type="dxa" w:w="2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~7.2%/yr</w:t>
            </w:r>
          </w:p>
        </w:tc>
        <w:tc>
          <w:tcPr>
            <w:tcW w:type="dxa" w:w="31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Cal Advocates Q2 2025</w:t>
            </w:r>
          </w:p>
        </w:tc>
      </w:tr>
      <w:tr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PG&amp;E gas base rate — Jan 2025</w:t>
            </w:r>
          </w:p>
        </w:tc>
        <w:tc>
          <w:tcPr>
            <w:tcW w:type="dxa" w:w="2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~$2.08/therm</w:t>
            </w:r>
          </w:p>
        </w:tc>
        <w:tc>
          <w:tcPr>
            <w:tcW w:type="dxa" w:w="31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PG&amp;E Advice Letter 5014-G1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Historical Electricity Periods (pge_elec_e1.json)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360"/>
      </w:tblGrid>
      <w:tr>
        <w:trPr>
          <w:tblHeader/>
        </w:trPr>
        <w:tc>
          <w:tcPr>
            <w:tcW w:type="dxa" w:w="50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Period</w:t>
            </w:r>
          </w:p>
        </w:tc>
        <w:tc>
          <w:tcPr>
            <w:tcW w:type="dxa" w:w="43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$/kWh</w:t>
            </w:r>
          </w:p>
        </w:tc>
      </w:tr>
      <w:tr>
        <w:tc>
          <w:tcPr>
            <w:tcW w:type="dxa" w:w="5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2018</w:t>
            </w:r>
          </w:p>
        </w:tc>
        <w:tc>
          <w:tcPr>
            <w:tcW w:type="dxa" w:w="4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0.178</w:t>
            </w:r>
          </w:p>
        </w:tc>
      </w:tr>
      <w:tr>
        <w:tc>
          <w:tcPr>
            <w:tcW w:type="dxa" w:w="5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2019</w:t>
            </w:r>
          </w:p>
        </w:tc>
        <w:tc>
          <w:tcPr>
            <w:tcW w:type="dxa" w:w="4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0.189</w:t>
            </w:r>
          </w:p>
        </w:tc>
      </w:tr>
      <w:tr>
        <w:tc>
          <w:tcPr>
            <w:tcW w:type="dxa" w:w="5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2020</w:t>
            </w:r>
          </w:p>
        </w:tc>
        <w:tc>
          <w:tcPr>
            <w:tcW w:type="dxa" w:w="4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0.196</w:t>
            </w:r>
          </w:p>
        </w:tc>
      </w:tr>
      <w:tr>
        <w:tc>
          <w:tcPr>
            <w:tcW w:type="dxa" w:w="5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2021</w:t>
            </w:r>
          </w:p>
        </w:tc>
        <w:tc>
          <w:tcPr>
            <w:tcW w:type="dxa" w:w="4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0.210</w:t>
            </w:r>
          </w:p>
        </w:tc>
      </w:tr>
      <w:tr>
        <w:tc>
          <w:tcPr>
            <w:tcW w:type="dxa" w:w="5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Jan–May 2022</w:t>
            </w:r>
          </w:p>
        </w:tc>
        <w:tc>
          <w:tcPr>
            <w:tcW w:type="dxa" w:w="4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0.231</w:t>
            </w:r>
          </w:p>
        </w:tc>
      </w:tr>
      <w:tr>
        <w:tc>
          <w:tcPr>
            <w:tcW w:type="dxa" w:w="5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Jun–Nov 2022</w:t>
            </w:r>
          </w:p>
        </w:tc>
        <w:tc>
          <w:tcPr>
            <w:tcW w:type="dxa" w:w="4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0.248</w:t>
            </w:r>
          </w:p>
        </w:tc>
      </w:tr>
      <w:tr>
        <w:tc>
          <w:tcPr>
            <w:tcW w:type="dxa" w:w="5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Jan–Jun 2023</w:t>
            </w:r>
          </w:p>
        </w:tc>
        <w:tc>
          <w:tcPr>
            <w:tcW w:type="dxa" w:w="4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0.310</w:t>
            </w:r>
          </w:p>
        </w:tc>
      </w:tr>
      <w:tr>
        <w:tc>
          <w:tcPr>
            <w:tcW w:type="dxa" w:w="5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Jul–Dec 2023</w:t>
            </w:r>
          </w:p>
        </w:tc>
        <w:tc>
          <w:tcPr>
            <w:tcW w:type="dxa" w:w="4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0.338</w:t>
            </w:r>
          </w:p>
        </w:tc>
      </w:tr>
      <w:tr>
        <w:tc>
          <w:tcPr>
            <w:tcW w:type="dxa" w:w="5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Jan–Jun 2024</w:t>
            </w:r>
          </w:p>
        </w:tc>
        <w:tc>
          <w:tcPr>
            <w:tcW w:type="dxa" w:w="4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0.358</w:t>
            </w:r>
          </w:p>
        </w:tc>
      </w:tr>
      <w:tr>
        <w:tc>
          <w:tcPr>
            <w:tcW w:type="dxa" w:w="5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Jul–Dec 2024</w:t>
            </w:r>
          </w:p>
        </w:tc>
        <w:tc>
          <w:tcPr>
            <w:tcW w:type="dxa" w:w="4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0.371</w:t>
            </w:r>
          </w:p>
        </w:tc>
      </w:tr>
      <w:tr>
        <w:tc>
          <w:tcPr>
            <w:tcW w:type="dxa" w:w="5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2025</w:t>
            </w:r>
          </w:p>
        </w:tc>
        <w:tc>
          <w:tcPr>
            <w:tcW w:type="dxa" w:w="4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0.386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Historical Gas Periods (pge_gas_g1.json)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360"/>
      </w:tblGrid>
      <w:tr>
        <w:trPr>
          <w:tblHeader/>
        </w:trPr>
        <w:tc>
          <w:tcPr>
            <w:tcW w:type="dxa" w:w="50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Period</w:t>
            </w:r>
          </w:p>
        </w:tc>
        <w:tc>
          <w:tcPr>
            <w:tcW w:type="dxa" w:w="43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$/therm</w:t>
            </w:r>
          </w:p>
        </w:tc>
      </w:tr>
      <w:tr>
        <w:tc>
          <w:tcPr>
            <w:tcW w:type="dxa" w:w="5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2018</w:t>
            </w:r>
          </w:p>
        </w:tc>
        <w:tc>
          <w:tcPr>
            <w:tcW w:type="dxa" w:w="4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1.10</w:t>
            </w:r>
          </w:p>
        </w:tc>
      </w:tr>
      <w:tr>
        <w:tc>
          <w:tcPr>
            <w:tcW w:type="dxa" w:w="5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2019</w:t>
            </w:r>
          </w:p>
        </w:tc>
        <w:tc>
          <w:tcPr>
            <w:tcW w:type="dxa" w:w="4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dxa" w:w="5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2020</w:t>
            </w:r>
          </w:p>
        </w:tc>
        <w:tc>
          <w:tcPr>
            <w:tcW w:type="dxa" w:w="4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1.22</w:t>
            </w:r>
          </w:p>
        </w:tc>
      </w:tr>
      <w:tr>
        <w:tc>
          <w:tcPr>
            <w:tcW w:type="dxa" w:w="5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2021</w:t>
            </w:r>
          </w:p>
        </w:tc>
        <w:tc>
          <w:tcPr>
            <w:tcW w:type="dxa" w:w="4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1.35</w:t>
            </w:r>
          </w:p>
        </w:tc>
      </w:tr>
      <w:tr>
        <w:tc>
          <w:tcPr>
            <w:tcW w:type="dxa" w:w="5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2022</w:t>
            </w:r>
          </w:p>
        </w:tc>
        <w:tc>
          <w:tcPr>
            <w:tcW w:type="dxa" w:w="4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1.65</w:t>
            </w:r>
          </w:p>
        </w:tc>
      </w:tr>
      <w:tr>
        <w:tc>
          <w:tcPr>
            <w:tcW w:type="dxa" w:w="5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2023</w:t>
            </w:r>
          </w:p>
        </w:tc>
        <w:tc>
          <w:tcPr>
            <w:tcW w:type="dxa" w:w="4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1.85</w:t>
            </w:r>
          </w:p>
        </w:tc>
      </w:tr>
      <w:tr>
        <w:tc>
          <w:tcPr>
            <w:tcW w:type="dxa" w:w="5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Jan–Aug 2024</w:t>
            </w:r>
          </w:p>
        </w:tc>
        <w:tc>
          <w:tcPr>
            <w:tcW w:type="dxa" w:w="4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1.92</w:t>
            </w:r>
          </w:p>
        </w:tc>
      </w:tr>
      <w:tr>
        <w:tc>
          <w:tcPr>
            <w:tcW w:type="dxa" w:w="5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Sep–Dec 2024</w:t>
            </w:r>
          </w:p>
        </w:tc>
        <w:tc>
          <w:tcPr>
            <w:tcW w:type="dxa" w:w="4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1.98</w:t>
            </w:r>
          </w:p>
        </w:tc>
      </w:tr>
      <w:tr>
        <w:tc>
          <w:tcPr>
            <w:tcW w:type="dxa" w:w="5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2025</w:t>
            </w:r>
          </w:p>
        </w:tc>
        <w:tc>
          <w:tcPr>
            <w:tcW w:type="dxa" w:w="4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2.08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Escalation Scenarios (years beyond 2025)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2000"/>
        <w:gridCol w:w="2860"/>
      </w:tblGrid>
      <w:tr>
        <w:trPr>
          <w:tblHeader/>
        </w:trPr>
        <w:tc>
          <w:tcPr>
            <w:tcW w:type="dxa" w:w="25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W w:type="dxa" w:w="20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Elec CAGR</w:t>
            </w:r>
          </w:p>
        </w:tc>
        <w:tc>
          <w:tcPr>
            <w:tcW w:type="dxa" w:w="20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Gas CAGR</w:t>
            </w:r>
          </w:p>
        </w:tc>
        <w:tc>
          <w:tcPr>
            <w:tcW w:type="dxa" w:w="28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Label</w:t>
            </w:r>
          </w:p>
        </w:tc>
      </w:tr>
      <w:tr>
        <w:tc>
          <w:tcPr>
            <w:tcW w:type="dxa" w:w="2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Conservative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4%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4%</w:t>
            </w:r>
          </w:p>
        </w:tc>
        <w:tc>
          <w:tcPr>
            <w:tcW w:type="dxa" w:w="28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Slow price growth</w:t>
            </w:r>
          </w:p>
        </w:tc>
      </w:tr>
      <w:tr>
        <w:tc>
          <w:tcPr>
            <w:tcW w:type="dxa" w:w="2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Moderate (default)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7%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8%</w:t>
            </w:r>
          </w:p>
        </w:tc>
        <w:tc>
          <w:tcPr>
            <w:tcW w:type="dxa" w:w="28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Recent trend</w:t>
            </w:r>
          </w:p>
        </w:tc>
      </w:tr>
      <w:tr>
        <w:tc>
          <w:tcPr>
            <w:tcW w:type="dxa" w:w="2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Stress (CEC)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10%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12%</w:t>
            </w:r>
          </w:p>
        </w:tc>
        <w:tc>
          <w:tcPr>
            <w:tcW w:type="dxa" w:w="28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High gas cost scenario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Rationale: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Moderate elec CAGR of 7% matches the 10-yr historical average per Cal Advocates Q2 2025. Gas 8% moderate reflects post-2021 trend plus stranded infrastructure risk from CEC's low-carbon gas transition analysis (CEC-500-2019-055).</w:t>
      </w:r>
    </w:p>
    <w:p>
      <w:pPr>
        <w:spacing w:after="80"/>
      </w:pPr>
      <w:r>
        <w:t xml:space="preserve"/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RateLoader Interface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F5A623" w:sz="12"/>
              <w:bottom w:val="single" w:color="DDDDDD" w:sz="4"/>
              <w:right w:val="single" w:color="DDDDDD" w:sz="4"/>
            </w:tcBorders>
            <w:shd w:fill="F0F0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class RateLoader: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def get_rate(self, fuel: str, year: int, month: int,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            scenario: str = "moderate") -&gt; float: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   """Returns $/kWh or $/therm for a specific year+month."""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def get_annual_monthly_rates(self, fuel: str, sim_start_year: int,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                             n_years: int, scenario: str) -&gt; np.ndarray: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   """Returns shape (n_years, 12) — one rate per month per year."""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D6FBF" w:sz="6"/>
              <w:left w:val="single" w:color="2D6FBF" w:sz="18"/>
              <w:bottom w:val="single" w:color="2D6FBF" w:sz="6"/>
              <w:right w:val="single" w:color="2D6FBF" w:sz="6"/>
            </w:tcBorders>
            <w:shd w:fill="EEF4FC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B3A6B"/>
                <w:sz w:val="22"/>
                <w:szCs w:val="22"/>
              </w:rPr>
              <w:t xml:space="preserve">HESModel calls get_annual_monthly_rates() once at init and passes the resulting arrays to devices. Devices never call RateLoader directly.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D6FBF"/>
          <w:sz w:val="26"/>
          <w:szCs w:val="26"/>
        </w:rPr>
        <w:t xml:space="preserve">2.4  Climate Data — Monthly TMY3 Constants</w:t>
      </w:r>
    </w:p>
    <w:p>
      <w:pPr>
        <w:spacing w:after="1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Fixed Bay Area constants for Phase 2 (NREL TMY3, San Jose Mineta Airport, Station 724945). Full EPW weather-file simulation deferred to Phase 3.</w:t>
      </w:r>
    </w:p>
    <w:p>
      <w:pPr>
        <w:spacing w:after="80"/>
      </w:pPr>
      <w:r>
        <w:t xml:space="preserve"/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780"/>
      </w:tblGrid>
      <w:tr>
        <w:trPr>
          <w:tblHeader/>
        </w:trPr>
        <w:tc>
          <w:tcPr>
            <w:tcW w:type="dxa" w:w="9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</w:t>
            </w:r>
          </w:p>
        </w:tc>
        <w:tc>
          <w:tcPr>
            <w:tcW w:type="dxa" w:w="6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Jan</w:t>
            </w:r>
          </w:p>
        </w:tc>
        <w:tc>
          <w:tcPr>
            <w:tcW w:type="dxa" w:w="6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Feb</w:t>
            </w:r>
          </w:p>
        </w:tc>
        <w:tc>
          <w:tcPr>
            <w:tcW w:type="dxa" w:w="6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</w:t>
            </w:r>
          </w:p>
        </w:tc>
        <w:tc>
          <w:tcPr>
            <w:tcW w:type="dxa" w:w="6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Apr</w:t>
            </w:r>
          </w:p>
        </w:tc>
        <w:tc>
          <w:tcPr>
            <w:tcW w:type="dxa" w:w="6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May</w:t>
            </w:r>
          </w:p>
        </w:tc>
        <w:tc>
          <w:tcPr>
            <w:tcW w:type="dxa" w:w="6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Jun</w:t>
            </w:r>
          </w:p>
        </w:tc>
        <w:tc>
          <w:tcPr>
            <w:tcW w:type="dxa" w:w="6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Jul</w:t>
            </w:r>
          </w:p>
        </w:tc>
        <w:tc>
          <w:tcPr>
            <w:tcW w:type="dxa" w:w="6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Aug</w:t>
            </w:r>
          </w:p>
        </w:tc>
        <w:tc>
          <w:tcPr>
            <w:tcW w:type="dxa" w:w="6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Sep</w:t>
            </w:r>
          </w:p>
        </w:tc>
        <w:tc>
          <w:tcPr>
            <w:tcW w:type="dxa" w:w="6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Oct</w:t>
            </w:r>
          </w:p>
        </w:tc>
        <w:tc>
          <w:tcPr>
            <w:tcW w:type="dxa" w:w="6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Nov</w:t>
            </w:r>
          </w:p>
        </w:tc>
        <w:tc>
          <w:tcPr>
            <w:tcW w:type="dxa" w:w="6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</w:t>
            </w:r>
          </w:p>
        </w:tc>
        <w:tc>
          <w:tcPr>
            <w:tcW w:type="dxa" w:w="78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Annual</w:t>
            </w:r>
          </w:p>
        </w:tc>
      </w:tr>
      <w:tr>
        <w:tc>
          <w:tcPr>
            <w:tcW w:type="dxa" w:w="9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HDD (65°F)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420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340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260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140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50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80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220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380</w:t>
            </w:r>
          </w:p>
        </w:tc>
        <w:tc>
          <w:tcPr>
            <w:tcW w:type="dxa" w:w="7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1,910</w:t>
            </w:r>
          </w:p>
        </w:tc>
      </w:tr>
      <w:tr>
        <w:tc>
          <w:tcPr>
            <w:tcW w:type="dxa" w:w="9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CDD (65°F)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5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60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90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85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55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5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0</w:t>
            </w:r>
          </w:p>
        </w:tc>
        <w:tc>
          <w:tcPr>
            <w:tcW w:type="dxa" w:w="7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340</w:t>
            </w:r>
          </w:p>
        </w:tc>
      </w:tr>
      <w:tr>
        <w:tc>
          <w:tcPr>
            <w:tcW w:type="dxa" w:w="9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Inlet H₂O (°F)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54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54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55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57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60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63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65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66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65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62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58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55</w:t>
            </w:r>
          </w:p>
        </w:tc>
        <w:tc>
          <w:tcPr>
            <w:tcW w:type="dxa" w:w="7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D6FBF" w:sz="6"/>
              <w:left w:val="single" w:color="2D6FBF" w:sz="18"/>
              <w:bottom w:val="single" w:color="2D6FBF" w:sz="6"/>
              <w:right w:val="single" w:color="2D6FBF" w:sz="6"/>
            </w:tcBorders>
            <w:shd w:fill="EEF4FC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B3A6B"/>
                <w:sz w:val="22"/>
                <w:szCs w:val="22"/>
              </w:rPr>
              <w:t xml:space="preserve">IMPORTANT: Annual HDD for Bay Area is 1,910 — not 2,600. The 2,600 figure in early spec drafts was the US national average. 1,910 is correct for San Jose TMY3. All validation targets use 1,910.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468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Hot water setpoint</w:t>
            </w:r>
          </w:p>
        </w:tc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120°F</w:t>
            </w:r>
          </w:p>
        </w:tc>
      </w:tr>
      <w:tr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Daily hot water usage</w:t>
            </w:r>
          </w:p>
        </w:tc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65 gallons/day</w:t>
            </w:r>
          </w:p>
        </w:tc>
      </w:tr>
      <w:tr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UA (poor insulation, pre-1980)</w:t>
            </w:r>
          </w:p>
        </w:tc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650 BTU/hr/°F</w:t>
            </w:r>
          </w:p>
        </w:tc>
      </w:tr>
      <w:tr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UA (average, 1990s code min)</w:t>
            </w:r>
          </w:p>
        </w:tc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500 BTU/hr/°F</w:t>
            </w:r>
          </w:p>
        </w:tc>
      </w:tr>
      <w:tr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UA (good, well-insulated)</w:t>
            </w:r>
          </w:p>
        </w:tc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350 BTU/hr/°F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PhysicsDevice Validation Targets (±5% tolerance)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Device</w:t>
            </w:r>
          </w:p>
        </w:tc>
        <w:tc>
          <w:tcPr>
            <w:tcW w:type="dxa" w:w="312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Config</w:t>
            </w:r>
          </w:p>
        </w:tc>
        <w:tc>
          <w:tcPr>
            <w:tcW w:type="dxa" w:w="312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</w:tr>
      <w:tr>
        <w:tc>
          <w:tcPr>
            <w:tcW w:type="dxa" w:w="312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GasFurnace</w:t>
            </w:r>
          </w:p>
        </w:tc>
        <w:tc>
          <w:tcPr>
            <w:tcW w:type="dxa" w:w="312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UA=500, AFUE=0.80</w:t>
            </w:r>
          </w:p>
        </w:tc>
        <w:tc>
          <w:tcPr>
            <w:tcW w:type="dxa" w:w="312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~286 therms/yr</w:t>
            </w:r>
          </w:p>
        </w:tc>
      </w:tr>
      <w:tr>
        <w:tc>
          <w:tcPr>
            <w:tcW w:type="dxa" w:w="312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HeatPumpHVAC (heating)</w:t>
            </w:r>
          </w:p>
        </w:tc>
        <w:tc>
          <w:tcPr>
            <w:tcW w:type="dxa" w:w="312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UA=500, COP=3.5</w:t>
            </w:r>
          </w:p>
        </w:tc>
        <w:tc>
          <w:tcPr>
            <w:tcW w:type="dxa" w:w="312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~1,930 kWh/yr</w:t>
            </w:r>
          </w:p>
        </w:tc>
      </w:tr>
      <w:tr>
        <w:tc>
          <w:tcPr>
            <w:tcW w:type="dxa" w:w="312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HeatPumpHVAC (cooling)</w:t>
            </w:r>
          </w:p>
        </w:tc>
        <w:tc>
          <w:tcPr>
            <w:tcW w:type="dxa" w:w="312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UA=500, SEER=22</w:t>
            </w:r>
          </w:p>
        </w:tc>
        <w:tc>
          <w:tcPr>
            <w:tcW w:type="dxa" w:w="312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~550 kWh/yr</w:t>
            </w:r>
          </w:p>
        </w:tc>
      </w:tr>
      <w:tr>
        <w:tc>
          <w:tcPr>
            <w:tcW w:type="dxa" w:w="312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GasWaterHeater</w:t>
            </w:r>
          </w:p>
        </w:tc>
        <w:tc>
          <w:tcPr>
            <w:tcW w:type="dxa" w:w="312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UEF=0.65, 65 gal/day</w:t>
            </w:r>
          </w:p>
        </w:tc>
        <w:tc>
          <w:tcPr>
            <w:tcW w:type="dxa" w:w="312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~210 therms/yr</w:t>
            </w:r>
          </w:p>
        </w:tc>
      </w:tr>
      <w:tr>
        <w:tc>
          <w:tcPr>
            <w:tcW w:type="dxa" w:w="312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HeatPumpWaterHeater</w:t>
            </w:r>
          </w:p>
        </w:tc>
        <w:tc>
          <w:tcPr>
            <w:tcW w:type="dxa" w:w="312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UEF=3.5, 65 gal/day</w:t>
            </w:r>
          </w:p>
        </w:tc>
        <w:tc>
          <w:tcPr>
            <w:tcW w:type="dxa" w:w="312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~1,050 kWh/yr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D6FBF"/>
          <w:sz w:val="26"/>
          <w:szCs w:val="26"/>
        </w:rPr>
        <w:t xml:space="preserve">2.5  cost_history_by_category Bug Fix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Problem (Phase 1):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HomeSimulator.step() appends one value per device per step. Multiple devices in the same category produce a list of length n_devices × n_steps instead of n_steps.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Fix — sum first, append once: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F5A623" w:sz="12"/>
              <w:bottom w:val="single" w:color="DDDDDD" w:sz="4"/>
              <w:right w:val="single" w:color="DDDDDD" w:sz="4"/>
            </w:tcBorders>
            <w:shd w:fill="F0F0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def step(self):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year_category_costs = {cat: 0.0 for cat in CATEGORY_ORDER}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for slot in self.slots: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   slot.step(current_year, monthly_rates)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   cat = slot.category if slot.category in year_category_costs else "Baseload"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   year_category_costs[cat] += slot.active_device.history['cost'][-1]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for cat, cost in year_category_costs.items():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   self.cost_history_by_category[cat].append(cost)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D6FBF"/>
          <w:sz w:val="26"/>
          <w:szCs w:val="26"/>
        </w:rPr>
        <w:t xml:space="preserve">2.6  Core Unit Rule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F5A623" w:sz="12"/>
              <w:bottom w:val="single" w:color="DDDDDD" w:sz="4"/>
              <w:right w:val="single" w:color="DDDDDD" w:sz="4"/>
            </w:tcBorders>
            <w:shd w:fill="F0F0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Each device stores and computes in its native unit: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ElectricalConsumer → kWh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GasConsumer        → therms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Pricing: consumption[m] × rate[m]  (element-wise, monthly)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Display conversion for combined charts (output only, never internals):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1 therm = 29.3 kWh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D6FBF" w:sz="6"/>
              <w:left w:val="single" w:color="2D6FBF" w:sz="18"/>
              <w:bottom w:val="single" w:color="2D6FBF" w:sz="6"/>
              <w:right w:val="single" w:color="2D6FBF" w:sz="6"/>
            </w:tcBorders>
            <w:shd w:fill="EEF4FC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B3A6B"/>
                <w:sz w:val="22"/>
                <w:szCs w:val="22"/>
              </w:rPr>
              <w:t xml:space="preserve">No MMBtu anywhere after Objective 1. This is a hard rule — enforce in code review and via grep check in Objective 4.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3.  Reference Data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D6FBF"/>
          <w:sz w:val="26"/>
          <w:szCs w:val="26"/>
        </w:rPr>
        <w:t xml:space="preserve">3.1  Electrical Appliances — ENERGY STAR &amp; DOE 2024</w:t>
      </w:r>
    </w:p>
    <w:p>
      <w:pPr>
        <w:spacing w:after="1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Cycle-based model: annual_kWh = kWh_per_cycle × cycles_per_week × 52 × seasonality_factor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300"/>
        <w:gridCol w:w="1700"/>
        <w:gridCol w:w="1500"/>
        <w:gridCol w:w="2360"/>
      </w:tblGrid>
      <w:tr>
        <w:trPr>
          <w:tblHeader/>
        </w:trPr>
        <w:tc>
          <w:tcPr>
            <w:tcW w:type="dxa" w:w="25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Appliance</w:t>
            </w:r>
          </w:p>
        </w:tc>
        <w:tc>
          <w:tcPr>
            <w:tcW w:type="dxa" w:w="13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kWh/cycle</w:t>
            </w:r>
          </w:p>
        </w:tc>
        <w:tc>
          <w:tcPr>
            <w:tcW w:type="dxa" w:w="17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 use</w:t>
            </w:r>
          </w:p>
        </w:tc>
        <w:tc>
          <w:tcPr>
            <w:tcW w:type="dxa" w:w="15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Annual kWh</w:t>
            </w:r>
          </w:p>
        </w:tc>
        <w:tc>
          <w:tcPr>
            <w:tcW w:type="dxa" w:w="23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2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Clothes washer</w:t>
            </w:r>
          </w:p>
        </w:tc>
        <w:tc>
          <w:tcPr>
            <w:tcW w:type="dxa" w:w="13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0.45</w:t>
            </w:r>
          </w:p>
        </w:tc>
        <w:tc>
          <w:tcPr>
            <w:tcW w:type="dxa" w:w="17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5 loads/wk</w:t>
            </w:r>
          </w:p>
        </w:tc>
        <w:tc>
          <w:tcPr>
            <w:tcW w:type="dxa" w:w="1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117</w:t>
            </w:r>
          </w:p>
        </w:tc>
        <w:tc>
          <w:tcPr>
            <w:tcW w:type="dxa" w:w="2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ENERGY STAR v8.0</w:t>
            </w:r>
          </w:p>
        </w:tc>
      </w:tr>
      <w:tr>
        <w:tc>
          <w:tcPr>
            <w:tcW w:type="dxa" w:w="2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Heat pump dryer</w:t>
            </w:r>
          </w:p>
        </w:tc>
        <w:tc>
          <w:tcPr>
            <w:tcW w:type="dxa" w:w="13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1.8</w:t>
            </w:r>
          </w:p>
        </w:tc>
        <w:tc>
          <w:tcPr>
            <w:tcW w:type="dxa" w:w="17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5 loads/wk</w:t>
            </w:r>
          </w:p>
        </w:tc>
        <w:tc>
          <w:tcPr>
            <w:tcW w:type="dxa" w:w="1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468</w:t>
            </w:r>
          </w:p>
        </w:tc>
        <w:tc>
          <w:tcPr>
            <w:tcW w:type="dxa" w:w="2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ENERGY STAR 2024</w:t>
            </w:r>
          </w:p>
        </w:tc>
      </w:tr>
      <w:tr>
        <w:tc>
          <w:tcPr>
            <w:tcW w:type="dxa" w:w="2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Electric dryer</w:t>
            </w:r>
          </w:p>
        </w:tc>
        <w:tc>
          <w:tcPr>
            <w:tcW w:type="dxa" w:w="13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3.3</w:t>
            </w:r>
          </w:p>
        </w:tc>
        <w:tc>
          <w:tcPr>
            <w:tcW w:type="dxa" w:w="17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5 loads/wk</w:t>
            </w:r>
          </w:p>
        </w:tc>
        <w:tc>
          <w:tcPr>
            <w:tcW w:type="dxa" w:w="1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858</w:t>
            </w:r>
          </w:p>
        </w:tc>
        <w:tc>
          <w:tcPr>
            <w:tcW w:type="dxa" w:w="2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DOE test procedure</w:t>
            </w:r>
          </w:p>
        </w:tc>
      </w:tr>
      <w:tr>
        <w:tc>
          <w:tcPr>
            <w:tcW w:type="dxa" w:w="2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Dishwasher</w:t>
            </w:r>
          </w:p>
        </w:tc>
        <w:tc>
          <w:tcPr>
            <w:tcW w:type="dxa" w:w="13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5 runs/wk</w:t>
            </w:r>
          </w:p>
        </w:tc>
        <w:tc>
          <w:tcPr>
            <w:tcW w:type="dxa" w:w="1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312</w:t>
            </w:r>
          </w:p>
        </w:tc>
        <w:tc>
          <w:tcPr>
            <w:tcW w:type="dxa" w:w="2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ENERGY STAR std</w:t>
            </w:r>
          </w:p>
        </w:tc>
      </w:tr>
      <w:tr>
        <w:tc>
          <w:tcPr>
            <w:tcW w:type="dxa" w:w="2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Electric oven</w:t>
            </w:r>
          </w:p>
        </w:tc>
        <w:tc>
          <w:tcPr>
            <w:tcW w:type="dxa" w:w="13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2.0</w:t>
            </w:r>
          </w:p>
        </w:tc>
        <w:tc>
          <w:tcPr>
            <w:tcW w:type="dxa" w:w="17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5 uses/wk</w:t>
            </w:r>
          </w:p>
        </w:tc>
        <w:tc>
          <w:tcPr>
            <w:tcW w:type="dxa" w:w="1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520</w:t>
            </w:r>
          </w:p>
        </w:tc>
        <w:tc>
          <w:tcPr>
            <w:tcW w:type="dxa" w:w="2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DOE 2022</w:t>
            </w:r>
          </w:p>
        </w:tc>
      </w:tr>
      <w:tr>
        <w:tc>
          <w:tcPr>
            <w:tcW w:type="dxa" w:w="2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Induction cooktop</w:t>
            </w:r>
          </w:p>
        </w:tc>
        <w:tc>
          <w:tcPr>
            <w:tcW w:type="dxa" w:w="13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0.9/meal</w:t>
            </w:r>
          </w:p>
        </w:tc>
        <w:tc>
          <w:tcPr>
            <w:tcW w:type="dxa" w:w="17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14 meals/wk</w:t>
            </w:r>
          </w:p>
        </w:tc>
        <w:tc>
          <w:tcPr>
            <w:tcW w:type="dxa" w:w="1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655</w:t>
            </w:r>
          </w:p>
        </w:tc>
        <w:tc>
          <w:tcPr>
            <w:tcW w:type="dxa" w:w="2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EPRI 2023</w:t>
            </w:r>
          </w:p>
        </w:tc>
      </w:tr>
      <w:tr>
        <w:tc>
          <w:tcPr>
            <w:tcW w:type="dxa" w:w="2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Refrigerator</w:t>
            </w:r>
          </w:p>
        </w:tc>
        <w:tc>
          <w:tcPr>
            <w:tcW w:type="dxa" w:w="13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1.35/day</w:t>
            </w:r>
          </w:p>
        </w:tc>
        <w:tc>
          <w:tcPr>
            <w:tcW w:type="dxa" w:w="17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continuous</w:t>
            </w:r>
          </w:p>
        </w:tc>
        <w:tc>
          <w:tcPr>
            <w:tcW w:type="dxa" w:w="1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493/yr</w:t>
            </w:r>
          </w:p>
        </w:tc>
        <w:tc>
          <w:tcPr>
            <w:tcW w:type="dxa" w:w="2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ENERGY STAR 2024</w:t>
            </w:r>
          </w:p>
        </w:tc>
      </w:tr>
      <w:tr>
        <w:tc>
          <w:tcPr>
            <w:tcW w:type="dxa" w:w="2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Lights + plug loads</w:t>
            </w:r>
          </w:p>
        </w:tc>
        <w:tc>
          <w:tcPr>
            <w:tcW w:type="dxa" w:w="13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—</w:t>
            </w:r>
          </w:p>
        </w:tc>
        <w:tc>
          <w:tcPr>
            <w:tcW w:type="dxa" w:w="17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continuous</w:t>
            </w:r>
          </w:p>
        </w:tc>
        <w:tc>
          <w:tcPr>
            <w:tcW w:type="dxa" w:w="1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1,200/yr</w:t>
            </w:r>
          </w:p>
        </w:tc>
        <w:tc>
          <w:tcPr>
            <w:tcW w:type="dxa" w:w="2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EIA RECS 2020 CA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D6FBF"/>
          <w:sz w:val="26"/>
          <w:szCs w:val="26"/>
        </w:rPr>
        <w:t xml:space="preserve">3.2  EV Charger — ScheduleDevice Default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780"/>
      </w:tblGrid>
      <w:tr>
        <w:trPr>
          <w:tblHeader/>
        </w:trPr>
        <w:tc>
          <w:tcPr>
            <w:tcW w:type="dxa" w:w="9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</w:t>
            </w:r>
          </w:p>
        </w:tc>
        <w:tc>
          <w:tcPr>
            <w:tcW w:type="dxa" w:w="6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Jan</w:t>
            </w:r>
          </w:p>
        </w:tc>
        <w:tc>
          <w:tcPr>
            <w:tcW w:type="dxa" w:w="6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Feb</w:t>
            </w:r>
          </w:p>
        </w:tc>
        <w:tc>
          <w:tcPr>
            <w:tcW w:type="dxa" w:w="6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</w:t>
            </w:r>
          </w:p>
        </w:tc>
        <w:tc>
          <w:tcPr>
            <w:tcW w:type="dxa" w:w="6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Apr</w:t>
            </w:r>
          </w:p>
        </w:tc>
        <w:tc>
          <w:tcPr>
            <w:tcW w:type="dxa" w:w="6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May</w:t>
            </w:r>
          </w:p>
        </w:tc>
        <w:tc>
          <w:tcPr>
            <w:tcW w:type="dxa" w:w="6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Jun</w:t>
            </w:r>
          </w:p>
        </w:tc>
        <w:tc>
          <w:tcPr>
            <w:tcW w:type="dxa" w:w="6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Jul</w:t>
            </w:r>
          </w:p>
        </w:tc>
        <w:tc>
          <w:tcPr>
            <w:tcW w:type="dxa" w:w="6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Aug</w:t>
            </w:r>
          </w:p>
        </w:tc>
        <w:tc>
          <w:tcPr>
            <w:tcW w:type="dxa" w:w="6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Sep</w:t>
            </w:r>
          </w:p>
        </w:tc>
        <w:tc>
          <w:tcPr>
            <w:tcW w:type="dxa" w:w="6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Oct</w:t>
            </w:r>
          </w:p>
        </w:tc>
        <w:tc>
          <w:tcPr>
            <w:tcW w:type="dxa" w:w="6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Nov</w:t>
            </w:r>
          </w:p>
        </w:tc>
        <w:tc>
          <w:tcPr>
            <w:tcW w:type="dxa" w:w="6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</w:t>
            </w:r>
          </w:p>
        </w:tc>
        <w:tc>
          <w:tcPr>
            <w:tcW w:type="dxa" w:w="78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Annual</w:t>
            </w:r>
          </w:p>
        </w:tc>
      </w:tr>
      <w:tr>
        <w:tc>
          <w:tcPr>
            <w:tcW w:type="dxa" w:w="9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kWh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290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270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290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280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300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310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320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320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300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290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280</w:t>
            </w:r>
          </w:p>
        </w:tc>
        <w:tc>
          <w:tcPr>
            <w:tcW w:type="dxa" w:w="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290</w:t>
            </w:r>
          </w:p>
        </w:tc>
        <w:tc>
          <w:tcPr>
            <w:tcW w:type="dxa" w:w="7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3,540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8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Annual kWh</w:t>
            </w:r>
          </w:p>
        </w:tc>
        <w:tc>
          <w:tcPr>
            <w:tcW w:type="dxa" w:w="58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~3,540</w:t>
            </w:r>
          </w:p>
        </w:tc>
      </w:tr>
      <w:tr>
        <w:tc>
          <w:tcPr>
            <w:tcW w:type="dxa" w:w="3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Installation cost</w:t>
            </w:r>
          </w:p>
        </w:tc>
        <w:tc>
          <w:tcPr>
            <w:tcW w:type="dxa" w:w="58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$800</w:t>
            </w:r>
          </w:p>
        </w:tc>
      </w:tr>
      <w:tr>
        <w:tc>
          <w:tcPr>
            <w:tcW w:type="dxa" w:w="3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Lifespan</w:t>
            </w:r>
          </w:p>
        </w:tc>
        <w:tc>
          <w:tcPr>
            <w:tcW w:type="dxa" w:w="58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20 years</w:t>
            </w:r>
          </w:p>
        </w:tc>
      </w:tr>
      <w:tr>
        <w:tc>
          <w:tcPr>
            <w:tcW w:type="dxa" w:w="3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Source</w:t>
            </w:r>
          </w:p>
        </w:tc>
        <w:tc>
          <w:tcPr>
            <w:tcW w:type="dxa" w:w="58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EPA 2024 avg 10 kWh/session, slight summer uptick</w:t>
            </w:r>
          </w:p>
        </w:tc>
      </w:tr>
      <w:tr>
        <w:tc>
          <w:tcPr>
            <w:tcW w:type="dxa" w:w="3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Upgrade path</w:t>
            </w:r>
          </w:p>
        </w:tc>
        <w:tc>
          <w:tcPr>
            <w:tcW w:type="dxa" w:w="58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Replace monthly_kwh with real odometer data or telematics API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D6FBF"/>
          <w:sz w:val="26"/>
          <w:szCs w:val="26"/>
        </w:rPr>
        <w:t xml:space="preserve">3.3  Gas Appliances — AGA &amp; PG&amp;E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360"/>
      </w:tblGrid>
      <w:tr>
        <w:trPr>
          <w:tblHeader/>
        </w:trPr>
        <w:tc>
          <w:tcPr>
            <w:tcW w:type="dxa" w:w="30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Appliance</w:t>
            </w:r>
          </w:p>
        </w:tc>
        <w:tc>
          <w:tcPr>
            <w:tcW w:type="dxa" w:w="20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Therms/cycle</w:t>
            </w:r>
          </w:p>
        </w:tc>
        <w:tc>
          <w:tcPr>
            <w:tcW w:type="dxa" w:w="20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 use</w:t>
            </w:r>
          </w:p>
        </w:tc>
        <w:tc>
          <w:tcPr>
            <w:tcW w:type="dxa" w:w="23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Annual therms</w:t>
            </w:r>
          </w:p>
        </w:tc>
      </w:tr>
      <w:tr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Gas dryer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0.22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5 loads/wk</w:t>
            </w:r>
          </w:p>
        </w:tc>
        <w:tc>
          <w:tcPr>
            <w:tcW w:type="dxa" w:w="2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57</w:t>
            </w:r>
          </w:p>
        </w:tc>
      </w:tr>
      <w:tr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Gas cooktop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0.05/meal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14 meals/wk</w:t>
            </w:r>
          </w:p>
        </w:tc>
        <w:tc>
          <w:tcPr>
            <w:tcW w:type="dxa" w:w="2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36</w:t>
            </w:r>
          </w:p>
        </w:tc>
      </w:tr>
      <w:tr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Gas fireplace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1.5/use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2×/wk</w:t>
            </w:r>
          </w:p>
        </w:tc>
        <w:tc>
          <w:tcPr>
            <w:tcW w:type="dxa" w:w="2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156</w:t>
            </w:r>
          </w:p>
        </w:tc>
      </w:tr>
    </w:tbl>
    <w:p>
      <w:pPr>
        <w:spacing w:after="1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HVAC and water heater use PhysicsDevice formulas — see §2.4.</w:t>
      </w:r>
    </w:p>
    <w:p>
      <w:pPr>
        <w:spacing w:after="80"/>
      </w:pPr>
      <w:r>
        <w:t xml:space="preserv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4.  Implementation Objectives</w:t>
      </w:r>
    </w:p>
    <w:p>
      <w:pPr>
        <w:spacing w:after="1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Ordered by dependency. Each objective must have passing tests before the next begins.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D6FBF" w:sz="6"/>
              <w:left w:val="single" w:color="2D6FBF" w:sz="18"/>
              <w:bottom w:val="single" w:color="2D6FBF" w:sz="6"/>
              <w:right w:val="single" w:color="2D6FBF" w:sz="6"/>
            </w:tcBorders>
            <w:shd w:fill="EEF4FC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B3A6B"/>
                <w:sz w:val="22"/>
                <w:szCs w:val="22"/>
              </w:rPr>
              <w:t xml:space="preserve">Rule: Do not start Objective N+1 until all tests for N pass.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D6FBF"/>
          <w:sz w:val="26"/>
          <w:szCs w:val="26"/>
        </w:rPr>
        <w:t xml:space="preserve">Objective 0 — Branding + Directory Scaffold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Scope: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No logic changes. Pure rename and file structure.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Update app.py: solara.Title("WhyWatt?"), header markdown, footer with logo placeholder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Update README.md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Create directory structure: data/rates/, data/climate/, data/appliances/, data/homes/, docs/assets/, src/devices/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Create docs/assets/whywatt_logo.png placeholder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Create docs/assets/group_logo.png placeholder</w:t>
      </w:r>
    </w:p>
    <w:p>
      <w:pPr>
        <w:spacing w:after="80"/>
      </w:pPr>
      <w:r>
        <w:t xml:space="preserve"/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Tests: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None needed — visual only.</w:t>
      </w:r>
    </w:p>
    <w:p>
      <w:pPr>
        <w:spacing w:after="80"/>
      </w:pPr>
      <w:r>
        <w:t xml:space="preserve"/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Claude Code prompt: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F5A623" w:sz="12"/>
              <w:bottom w:val="single" w:color="DDDDDD" w:sz="4"/>
              <w:right w:val="single" w:color="DDDDDD" w:sz="4"/>
            </w:tcBorders>
            <w:shd w:fill="F0F0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Implement Objective 0 of docs/Phase2_Spec.md.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Rename HES to WhyWatt? in app.py title and header only.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Create the directory structure listed. No logic changes whatsoever.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D6FBF"/>
          <w:sz w:val="26"/>
          <w:szCs w:val="26"/>
        </w:rPr>
        <w:t xml:space="preserve">Objective 1 — Rate Data Files + RateLoader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Scope: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Create CPUC rate data files and the loader. No simulation changes yet.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Deliverables: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data/rates/pge_elec_e1.json — historical E-1 periods from spec §2.3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data/rates/pge_gas_g1.json — historical G-1 periods from spec §2.3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src/rate_loader.py — RateLoader class with get_rate() and get_annual_monthly_rates()</w:t>
      </w:r>
    </w:p>
    <w:p>
      <w:pPr>
        <w:spacing w:after="80"/>
      </w:pPr>
      <w:r>
        <w:t xml:space="preserve"/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RateLoader behaviour: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(year, month) within historical period → return that period's flat rate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(year, month) beyond last period → base_rate × (1 + cagr)^(year - base_year)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sim_start_year: real calendar year simulation year 0 maps to (default 2025)</w:t>
      </w:r>
    </w:p>
    <w:p>
      <w:pPr>
        <w:spacing w:after="80"/>
      </w:pPr>
      <w:r>
        <w:t xml:space="preserve"/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Tests (tests/test_rate_loader.py):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get_rate("electricity", 2023, 6) → 0.310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get_rate("gas", 2024, 10) → 1.98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get_rate("electricity", 2030, 1, "moderate") → 0.386 × 1.07^5 ± 0.001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Boundary: last historical month → historical rate; next month → projection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get_annual_monthly_rates() returns shape (n_years, 12)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Scenario ordering: conservative &lt; moderate &lt; stress for any future year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Unknown scenario raises ValueError</w:t>
      </w:r>
    </w:p>
    <w:p>
      <w:pPr>
        <w:spacing w:after="80"/>
      </w:pPr>
      <w:r>
        <w:t xml:space="preserve"/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Claude Code prompt: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F5A623" w:sz="12"/>
              <w:bottom w:val="single" w:color="DDDDDD" w:sz="4"/>
              <w:right w:val="single" w:color="DDDDDD" w:sz="4"/>
            </w:tcBorders>
            <w:shd w:fill="F0F0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Implement Objective 1 of docs/Phase2_Spec.md.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Create data/rates/pge_elec_e1.json and data/rates/pge_gas_g1.json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using the exact period data in spec §2.3.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Create src/rate_loader.py with the RateLoader class and interface in §2.3.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Write tests/test_rate_loader.py covering all test cases listed.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Do not modify any existing src/ files.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D6FBF"/>
          <w:sz w:val="26"/>
          <w:szCs w:val="26"/>
        </w:rPr>
        <w:t xml:space="preserve">Objective 2 — Device Class Hierarchy + Climate Data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Scope: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New src/devices/ module. No changes to model.py or app.py yet.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New files: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data/climate/bayarea_tmy3.json — from spec §2.4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src/devices/__init__.py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src/devices/base.py — EnergyConsumer abstract base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src/devices/seasonal.py — SeasonalDevice + concrete classes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src/devices/physics.py — PhysicsDevice + GasFurnace, HeatPumpHVAC, GasWaterHeater, HeatPumpWaterHeater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src/devices/schedule.py — ScheduleDevice + EVCharger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D6FBF" w:sz="6"/>
              <w:left w:val="single" w:color="2D6FBF" w:sz="18"/>
              <w:bottom w:val="single" w:color="2D6FBF" w:sz="6"/>
              <w:right w:val="single" w:color="2D6FBF" w:sz="6"/>
            </w:tcBorders>
            <w:shd w:fill="EEF4FC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B3A6B"/>
                <w:sz w:val="22"/>
                <w:szCs w:val="22"/>
              </w:rPr>
              <w:t xml:space="preserve">Key design rule: climate constants are injected at device construction — devices never read files.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Tests (tests/test_devices.py) — all physics devices must be within ±5%: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GasFurnace: ~286 therms/yr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HeatPumpHVAC heating: ~1,930 kWh/yr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HeatPumpHVAC cooling: ~550 kWh/yr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GasWaterHeater: ~210 therms/yr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HeatPumpWaterHeater: ~1,050 kWh/yr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EVCharger: ~3,540 kWh/yr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All devices: monthly_consumption() shape is (12,)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Good insulation (UA=350) consumes less than poor (UA=650)</w:t>
      </w:r>
    </w:p>
    <w:p>
      <w:pPr>
        <w:spacing w:after="80"/>
      </w:pPr>
      <w:r>
        <w:t xml:space="preserve"/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Claude Code prompt: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F5A623" w:sz="12"/>
              <w:bottom w:val="single" w:color="DDDDDD" w:sz="4"/>
              <w:right w:val="single" w:color="DDDDDD" w:sz="4"/>
            </w:tcBorders>
            <w:shd w:fill="F0F0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Implement Objective 2 of docs/Phase2_Spec.md.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Create data/climate/bayarea_tmy3.json from spec §2.4.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Create src/devices/ module with base.py, seasonal.py, physics.py, schedule.py.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Climate constants are passed as constructor arguments — devices never read files.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Write tests/test_devices.py covering all validation targets in §2.4.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Do not modify model.py, app.py, or energy_price.py.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D6FBF"/>
          <w:sz w:val="26"/>
          <w:szCs w:val="26"/>
        </w:rPr>
        <w:t xml:space="preserve">Objective 3 — DeviceSlot + JourneyHome + HESModel Refactor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Scope: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Replace HomeSimulator with JourneyHome using DeviceSlot objects. Update HESModel to run two JourneyHome instances. Fix cost_history_by_category bug.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New file: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src/journey.py — DeviceSlot dataclass and JourneyHome class</w:t>
      </w:r>
    </w:p>
    <w:p>
      <w:pPr>
        <w:spacing w:after="80"/>
      </w:pPr>
      <w:r>
        <w:t xml:space="preserve"/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HESModel changes: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Constructor takes journey_slots list and scenario string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Calls RateLoader.get_annual_monthly_rates() at init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Instantiates two JourneyHome objects: journey_home (uses swap_years from config) and baseline_home (all swap_years = None)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Loads climate constants from data/climate/bayarea_tmy3.json once at init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insulation_quality parameter maps to UA value via climate constants</w:t>
      </w:r>
    </w:p>
    <w:p>
      <w:pPr>
        <w:spacing w:after="80"/>
      </w:pPr>
      <w:r>
        <w:t xml:space="preserve"/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Default Slot Configuration (data/homes/journey_slots_default.json)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2600"/>
        <w:gridCol w:w="1300"/>
        <w:gridCol w:w="1260"/>
      </w:tblGrid>
      <w:tr>
        <w:trPr>
          <w:tblHeader/>
        </w:trPr>
        <w:tc>
          <w:tcPr>
            <w:tcW w:type="dxa" w:w="16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Slot</w:t>
            </w:r>
          </w:p>
        </w:tc>
        <w:tc>
          <w:tcPr>
            <w:tcW w:type="dxa" w:w="26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Baseline Device</w:t>
            </w:r>
          </w:p>
        </w:tc>
        <w:tc>
          <w:tcPr>
            <w:tcW w:type="dxa" w:w="26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Electric Device</w:t>
            </w:r>
          </w:p>
        </w:tc>
        <w:tc>
          <w:tcPr>
            <w:tcW w:type="dxa" w:w="13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Install Cost</w:t>
            </w:r>
          </w:p>
        </w:tc>
        <w:tc>
          <w:tcPr>
            <w:tcW w:type="dxa" w:w="12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Rebate</w:t>
            </w:r>
          </w:p>
        </w:tc>
      </w:tr>
      <w:tr>
        <w:tc>
          <w:tcPr>
            <w:tcW w:type="dxa" w:w="1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HVAC</w:t>
            </w:r>
          </w:p>
        </w:tc>
        <w:tc>
          <w:tcPr>
            <w:tcW w:type="dxa" w:w="2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GasFurnace AFUE=0.80</w:t>
            </w:r>
          </w:p>
        </w:tc>
        <w:tc>
          <w:tcPr>
            <w:tcW w:type="dxa" w:w="2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HeatPumpHVAC COP=3.5, SEER=22</w:t>
            </w:r>
          </w:p>
        </w:tc>
        <w:tc>
          <w:tcPr>
            <w:tcW w:type="dxa" w:w="13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$14,000</w:t>
            </w:r>
          </w:p>
        </w:tc>
        <w:tc>
          <w:tcPr>
            <w:tcW w:type="dxa" w:w="12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$3,500</w:t>
            </w:r>
          </w:p>
        </w:tc>
      </w:tr>
      <w:tr>
        <w:tc>
          <w:tcPr>
            <w:tcW w:type="dxa" w:w="1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Water Heater</w:t>
            </w:r>
          </w:p>
        </w:tc>
        <w:tc>
          <w:tcPr>
            <w:tcW w:type="dxa" w:w="2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GasWaterHeater UEF=0.65</w:t>
            </w:r>
          </w:p>
        </w:tc>
        <w:tc>
          <w:tcPr>
            <w:tcW w:type="dxa" w:w="2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HeatPumpWH UEF=3.5</w:t>
            </w:r>
          </w:p>
        </w:tc>
        <w:tc>
          <w:tcPr>
            <w:tcW w:type="dxa" w:w="13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$2,500</w:t>
            </w:r>
          </w:p>
        </w:tc>
        <w:tc>
          <w:tcPr>
            <w:tcW w:type="dxa" w:w="12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1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Dryer</w:t>
            </w:r>
          </w:p>
        </w:tc>
        <w:tc>
          <w:tcPr>
            <w:tcW w:type="dxa" w:w="2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GasDryer 0.22th/cycle</w:t>
            </w:r>
          </w:p>
        </w:tc>
        <w:tc>
          <w:tcPr>
            <w:tcW w:type="dxa" w:w="2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HeatPumpDryer 1.8 kWh/cycle</w:t>
            </w:r>
          </w:p>
        </w:tc>
        <w:tc>
          <w:tcPr>
            <w:tcW w:type="dxa" w:w="13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$1,200</w:t>
            </w:r>
          </w:p>
        </w:tc>
        <w:tc>
          <w:tcPr>
            <w:tcW w:type="dxa" w:w="12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$0</w:t>
            </w:r>
          </w:p>
        </w:tc>
      </w:tr>
      <w:tr>
        <w:tc>
          <w:tcPr>
            <w:tcW w:type="dxa" w:w="1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EV Charger</w:t>
            </w:r>
          </w:p>
        </w:tc>
        <w:tc>
          <w:tcPr>
            <w:tcW w:type="dxa" w:w="2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(none — no EV in baseline)</w:t>
            </w:r>
          </w:p>
        </w:tc>
        <w:tc>
          <w:tcPr>
            <w:tcW w:type="dxa" w:w="2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EVCharger</w:t>
            </w:r>
          </w:p>
        </w:tc>
        <w:tc>
          <w:tcPr>
            <w:tcW w:type="dxa" w:w="13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$800</w:t>
            </w:r>
          </w:p>
        </w:tc>
        <w:tc>
          <w:tcPr>
            <w:tcW w:type="dxa" w:w="12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$0</w:t>
            </w:r>
          </w:p>
        </w:tc>
      </w:tr>
      <w:tr>
        <w:tc>
          <w:tcPr>
            <w:tcW w:type="dxa" w:w="1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Lights/Plugs</w:t>
            </w:r>
          </w:p>
        </w:tc>
        <w:tc>
          <w:tcPr>
            <w:tcW w:type="dxa" w:w="2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LightsAndPlugs 1,200 kWh</w:t>
            </w:r>
          </w:p>
        </w:tc>
        <w:tc>
          <w:tcPr>
            <w:tcW w:type="dxa" w:w="2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LightsAndPlugs 1,200 kWh</w:t>
            </w:r>
          </w:p>
        </w:tc>
        <w:tc>
          <w:tcPr>
            <w:tcW w:type="dxa" w:w="13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$0</w:t>
            </w:r>
          </w:p>
        </w:tc>
        <w:tc>
          <w:tcPr>
            <w:tcW w:type="dxa" w:w="12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$0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Tests (tests/test_journey.py):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DeviceSlot uses baseline before swap_year, electric on and after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swap_year = None always uses baseline device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CapEx event logged at swap_year with net_install_cost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End-of-life CapEx logged when age &gt;= lifespan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cost_history_by_category has exactly n_steps entries per category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baseline_home costs more than journey_home after all swaps (stress scenario)</w:t>
      </w:r>
    </w:p>
    <w:p>
      <w:pPr>
        <w:spacing w:after="80"/>
      </w:pPr>
      <w:r>
        <w:t xml:space="preserve"/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Claude Code prompt: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F5A623" w:sz="12"/>
              <w:bottom w:val="single" w:color="DDDDDD" w:sz="4"/>
              <w:right w:val="single" w:color="DDDDDD" w:sz="4"/>
            </w:tcBorders>
            <w:shd w:fill="F0F0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Implement Objective 3 of docs/Phase2_Spec.md.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Create src/journey.py with DeviceSlot and JourneyHome.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Refactor src/model.py: replace HomeSimulator with JourneyHome,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add RateLoader integration, fix cost_history_by_category bug per §2.5.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Load default slots from data/homes/journey_slots_default.json.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Write tests/test_journey.py. Do not modify app.py.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D6FBF"/>
          <w:sz w:val="26"/>
          <w:szCs w:val="26"/>
        </w:rPr>
        <w:t xml:space="preserve">Objective 4 — EnergyPrice Retirement + Cleanup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Scope: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EnergyPrice is superseded by RateLoader. Remove it. Update all remaining MMBtu references.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Delete src/energy_price.py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Delete src/energy_consumer.py (replaced by src/devices/)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Remove all MMBtu references from tests and docs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Update Glossary.md — remove MMBtu, add kWh/therm, RateLoader, DeviceSlot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Run pytest tests/ — all must pass</w:t>
      </w:r>
    </w:p>
    <w:p>
      <w:pPr>
        <w:spacing w:after="80"/>
      </w:pPr>
      <w:r>
        <w:t xml:space="preserve"/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Grep check (must return zero results):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F5A623" w:sz="12"/>
              <w:bottom w:val="single" w:color="DDDDDD" w:sz="4"/>
              <w:right w:val="single" w:color="DDDDDD" w:sz="4"/>
            </w:tcBorders>
            <w:shd w:fill="F0F0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grep -r "MMBtu\|mmbtu\|per_mmbtu\|annual_load\|fuel_mix" src/ data/ tests/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Claude Code prompt: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F5A623" w:sz="12"/>
              <w:bottom w:val="single" w:color="DDDDDD" w:sz="4"/>
              <w:right w:val="single" w:color="DDDDDD" w:sz="4"/>
            </w:tcBorders>
            <w:shd w:fill="F0F0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Implement Objective 4 of docs/Phase2_Spec.md.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Delete src/energy_price.py and src/energy_consumer.py.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Run grep check from spec and fix any remaining MMBtu references.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Update docs/Glossary.md.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Run pytest and confirm all tests pass.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D6FBF"/>
          <w:sz w:val="26"/>
          <w:szCs w:val="26"/>
        </w:rPr>
        <w:t xml:space="preserve">Objective 5 — Dual Pricing Scenarios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Scope: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Add Scenario B (stress) as a second HESModel instance. Lazy instantiation — only created when comparison mode enabled.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HESModel new parameters: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scenario_a (default: "moderate"), scenario_b (default: "stress"), comparison_mode (default: False)</w:t>
      </w:r>
    </w:p>
    <w:p>
      <w:pPr>
        <w:spacing w:after="80"/>
      </w:pPr>
      <w:r>
        <w:t xml:space="preserve"/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Tests (tests/test_dual_scenario.py):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comparison_mode=False: no _b attributes on model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comparison_mode=True: _b homes exist with independent cost trajectories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Stress scenario produces higher cumulative cost than moderate over 20 years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Identical scenario A==B params produce identical trajectories</w:t>
      </w:r>
    </w:p>
    <w:p>
      <w:pPr>
        <w:spacing w:after="80"/>
      </w:pPr>
      <w:r>
        <w:t xml:space="preserve"/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Claude Code prompt: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F5A623" w:sz="12"/>
              <w:bottom w:val="single" w:color="DDDDDD" w:sz="4"/>
              <w:right w:val="single" w:color="DDDDDD" w:sz="4"/>
            </w:tcBorders>
            <w:shd w:fill="F0F0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Implement Objective 5 of docs/Phase2_Spec.md.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Add comparison_mode and scenario_b to HESModel.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Lazy-instantiate Scenario B homes only when comparison_mode=True.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Extend DataCollector reporters for Scenario B.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Write tests/test_dual_scenario.py.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D6FBF"/>
          <w:sz w:val="26"/>
          <w:szCs w:val="26"/>
        </w:rPr>
        <w:t xml:space="preserve">Objective 6 — UI: Journey Planner + WhyWatt Branding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Scope: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Full Solara UI refactor. New Journey Planner control panel. WhyWatt branding throughout. Dual scenario chart support.</w:t>
      </w:r>
    </w:p>
    <w:p>
      <w:pPr>
        <w:spacing w:after="80"/>
      </w:pPr>
      <w:r>
        <w:t xml:space="preserve"/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Branding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solara.Title("WhyWatt?") and ⚡ WhyWatt? header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Header logo: docs/assets/whywatt_logo.png with os.path.exists() guard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Footer: group logo + org name, same guard</w:t>
      </w:r>
    </w:p>
    <w:p>
      <w:pPr>
        <w:spacing w:after="80"/>
      </w:pPr>
      <w:r>
        <w:t xml:space="preserve"/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Journey Planner Panel (replaces Gas Home + Electric Home panels)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700"/>
        <w:gridCol w:w="1500"/>
        <w:gridCol w:w="2160"/>
      </w:tblGrid>
      <w:tr>
        <w:trPr>
          <w:tblHeader/>
        </w:trPr>
        <w:tc>
          <w:tcPr>
            <w:tcW w:type="dxa" w:w="20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Device</w:t>
            </w:r>
          </w:p>
        </w:tc>
        <w:tc>
          <w:tcPr>
            <w:tcW w:type="dxa" w:w="20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Swap in year</w:t>
            </w:r>
          </w:p>
        </w:tc>
        <w:tc>
          <w:tcPr>
            <w:tcW w:type="dxa" w:w="17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Install cost</w:t>
            </w:r>
          </w:p>
        </w:tc>
        <w:tc>
          <w:tcPr>
            <w:tcW w:type="dxa" w:w="15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Rebate</w:t>
            </w:r>
          </w:p>
        </w:tc>
        <w:tc>
          <w:tcPr>
            <w:tcW w:type="dxa" w:w="21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Net cost</w:t>
            </w:r>
          </w:p>
        </w:tc>
      </w:tr>
      <w:tr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HVAC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[slider 1–25]</w:t>
            </w:r>
          </w:p>
        </w:tc>
        <w:tc>
          <w:tcPr>
            <w:tcW w:type="dxa" w:w="17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$14,000</w:t>
            </w:r>
          </w:p>
        </w:tc>
        <w:tc>
          <w:tcPr>
            <w:tcW w:type="dxa" w:w="1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$3,500</w:t>
            </w:r>
          </w:p>
        </w:tc>
        <w:tc>
          <w:tcPr>
            <w:tcW w:type="dxa" w:w="21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$10,500</w:t>
            </w:r>
          </w:p>
        </w:tc>
      </w:tr>
      <w:tr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Water Heater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[slider 1–25]</w:t>
            </w:r>
          </w:p>
        </w:tc>
        <w:tc>
          <w:tcPr>
            <w:tcW w:type="dxa" w:w="17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$2,500</w:t>
            </w:r>
          </w:p>
        </w:tc>
        <w:tc>
          <w:tcPr>
            <w:tcW w:type="dxa" w:w="1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$500</w:t>
            </w:r>
          </w:p>
        </w:tc>
        <w:tc>
          <w:tcPr>
            <w:tcW w:type="dxa" w:w="21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$2,000</w:t>
            </w:r>
          </w:p>
        </w:tc>
      </w:tr>
      <w:tr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Dryer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[slider 1–25]</w:t>
            </w:r>
          </w:p>
        </w:tc>
        <w:tc>
          <w:tcPr>
            <w:tcW w:type="dxa" w:w="17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$1,200</w:t>
            </w:r>
          </w:p>
        </w:tc>
        <w:tc>
          <w:tcPr>
            <w:tcW w:type="dxa" w:w="1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$0</w:t>
            </w:r>
          </w:p>
        </w:tc>
        <w:tc>
          <w:tcPr>
            <w:tcW w:type="dxa" w:w="21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$1,200</w:t>
            </w:r>
          </w:p>
        </w:tc>
      </w:tr>
      <w:tr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EV Charger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[slider 1–25]</w:t>
            </w:r>
          </w:p>
        </w:tc>
        <w:tc>
          <w:tcPr>
            <w:tcW w:type="dxa" w:w="17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$800</w:t>
            </w:r>
          </w:p>
        </w:tc>
        <w:tc>
          <w:tcPr>
            <w:tcW w:type="dxa" w:w="1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$0</w:t>
            </w:r>
          </w:p>
        </w:tc>
        <w:tc>
          <w:tcPr>
            <w:tcW w:type="dxa" w:w="21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$800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Each device row also has a "Not planning to swap" checkbox that disables its slider.</w:t>
      </w:r>
    </w:p>
    <w:p>
      <w:pPr>
        <w:spacing w:after="80"/>
      </w:pPr>
      <w:r>
        <w:t xml:space="preserve"/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Three Control Panels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Journey Planner — swap year per device, rebate amounts, install costs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Home Profile — insulation quality, device efficiency specs (AFUE, COP, UEF, SEER)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Energy &amp; Timeline — scenario A selector, years, comparison mode toggle, scenario B</w:t>
      </w:r>
    </w:p>
    <w:p>
      <w:pPr>
        <w:spacing w:after="80"/>
      </w:pPr>
      <w:r>
        <w:t xml:space="preserve"/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Chart Updates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All 6 existing charts updated to support 4-series output when comparison_mode=True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Solid lines = Scenario A · Dashed lines = Scenario B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New chart: Journey Timeline (7th option) — horizontal timeline, swap event markers, gas price background band</w:t>
      </w:r>
    </w:p>
    <w:p>
      <w:pPr>
        <w:spacing w:after="80"/>
      </w:pPr>
      <w:r>
        <w:t xml:space="preserve"/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Summary Stat Bar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F5A623" w:sz="12"/>
              <w:bottom w:val="single" w:color="DDDDDD" w:sz="4"/>
              <w:right w:val="single" w:color="DDDDDD" w:sz="4"/>
            </w:tcBorders>
            <w:shd w:fill="F0F0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Journey savings vs do-nothing (Scenario A):  $X over N years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Journey payback year: Y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[If comparison on] Scenario B savings: $Z over N years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Claude Code prompt: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F5A623" w:sz="12"/>
              <w:bottom w:val="single" w:color="DDDDDD" w:sz="4"/>
              <w:right w:val="single" w:color="DDDDDD" w:sz="4"/>
            </w:tcBorders>
            <w:shd w:fill="F0F0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Implement Objective 6 of docs/Phase2_Spec.md.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Refactor app.py: replace Gas Home / Electric Home panels with Journey Planner.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Add WhyWatt branding with logo guards.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Update all 6 charts to support 4-series (comparison_mode).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Add Journey Timeline as 7th chart type.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All existing tests must still pass.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5.  File Structure After Phase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F5A623" w:sz="12"/>
              <w:bottom w:val="single" w:color="DDDDDD" w:sz="4"/>
              <w:right w:val="single" w:color="DDDDDD" w:sz="4"/>
            </w:tcBorders>
            <w:shd w:fill="F0F0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hes/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CLAUDE.md                         ← always current, update after each objective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README.md                         ← WhyWatt name, Phase 2 run instructions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requirements.txt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Dockerfile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src/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devices/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│   ├── __init__.py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│   ├── base.py                   ← EnergyConsumer abstract base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│   ├── seasonal.py               ← SeasonalDevice + GasDryer, HeatPumpDryer etc.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│   ├── physics.py                ← PhysicsDevice + GasFurnace, HeatPumpHVAC etc.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│   └── schedule.py               ← ScheduleDevice + EVCharger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rate_loader.py                ← RateLoader (CPUC data + projection)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journey.py                    ← DeviceSlot + JourneyHome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model.py                      ← HESModel (refactored)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└── app.py                        ← Solara UI (WhyWatt, Journey Planner)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data/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rates/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│   ├── pge_elec_e1.json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│   └── pge_gas_g1.json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climate/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│   └── bayarea_tmy3.json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appliances/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│   ├── electrical_defaults.json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│   ├── gas_defaults.json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│   └── ev_schedule_default.json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└── homes/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    └── journey_slots_default.json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├── docs/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assets/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│   ├── whywatt_logo.png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│   └── group_logo.png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Glossary.md                   ← updated, no MMBtu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├── Phase1_Goals.md               ← history, do not modify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│   └── Phase2_Spec.md                ← canonical developer reference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└── tests/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├── __init__.py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├── conftest.py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├── test_rate_loader.py            ← Objective 1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├── test_devices.py               ← Objective 2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├── test_journey.py               ← Objective 3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└── test_dual_scenario.py         ← Objective 5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Deleted in Phase 2: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src/energy_consumer.py → replaced by src/devices/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src/energy_price.py → replaced by src/rate_loader.py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data/baseline_home.json → replaced by data/homes/journey_slots_default.json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data/electrified_home.json → same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tests/test_energy_consumer.py → superseded by test_devices.py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tests/test_energy_price.py → superseded by test_rate_loader.py</w:t>
      </w:r>
    </w:p>
    <w:p>
      <w:pPr>
        <w:spacing w:after="80"/>
      </w:pPr>
      <w:r>
        <w:t xml:space="preserv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6.  Phase 2 Done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4200"/>
        <w:gridCol w:w="4760"/>
      </w:tblGrid>
      <w:tr>
        <w:trPr>
          <w:tblHeader/>
        </w:trPr>
        <w:tc>
          <w:tcPr>
            <w:tcW w:type="dxa" w:w="4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2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47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to verify</w:t>
            </w:r>
          </w:p>
        </w:tc>
      </w:tr>
      <w:tr>
        <w:tc>
          <w:tcPr>
            <w:tcW w:type="dxa" w:w="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All tests pass</w:t>
            </w:r>
          </w:p>
        </w:tc>
        <w:tc>
          <w:tcPr>
            <w:tcW w:type="dxa" w:w="47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pytest tests/</w:t>
            </w:r>
          </w:p>
        </w:tc>
      </w:tr>
      <w:tr>
        <w:tc>
          <w:tcPr>
            <w:tcW w:type="dxa" w:w="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No MMBtu anywhere</w:t>
            </w:r>
          </w:p>
        </w:tc>
        <w:tc>
          <w:tcPr>
            <w:tcW w:type="dxa" w:w="47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grep -r "MMBtu" src/ data/ tests/ → zero results</w:t>
            </w:r>
          </w:p>
        </w:tc>
      </w:tr>
      <w:tr>
        <w:tc>
          <w:tcPr>
            <w:tcW w:type="dxa" w:w="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GasFurnace: 270–300 therms (Bay Area defaults)</w:t>
            </w:r>
          </w:p>
        </w:tc>
        <w:tc>
          <w:tcPr>
            <w:tcW w:type="dxa" w:w="47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test_devices.py</w:t>
            </w:r>
          </w:p>
        </w:tc>
      </w:tr>
      <w:tr>
        <w:tc>
          <w:tcPr>
            <w:tcW w:type="dxa" w:w="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4</w:t>
            </w:r>
          </w:p>
        </w:tc>
        <w:tc>
          <w:tcPr>
            <w:tcW w:type="dxa" w:w="4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HeatPumpHVAC: 1,830–2,030 kWh heating</w:t>
            </w:r>
          </w:p>
        </w:tc>
        <w:tc>
          <w:tcPr>
            <w:tcW w:type="dxa" w:w="47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test_devices.py</w:t>
            </w:r>
          </w:p>
        </w:tc>
      </w:tr>
      <w:tr>
        <w:tc>
          <w:tcPr>
            <w:tcW w:type="dxa" w:w="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5</w:t>
            </w:r>
          </w:p>
        </w:tc>
        <w:tc>
          <w:tcPr>
            <w:tcW w:type="dxa" w:w="4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GasWaterHeater: 200–220 therms</w:t>
            </w:r>
          </w:p>
        </w:tc>
        <w:tc>
          <w:tcPr>
            <w:tcW w:type="dxa" w:w="47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test_devices.py</w:t>
            </w:r>
          </w:p>
        </w:tc>
      </w:tr>
      <w:tr>
        <w:tc>
          <w:tcPr>
            <w:tcW w:type="dxa" w:w="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6</w:t>
            </w:r>
          </w:p>
        </w:tc>
        <w:tc>
          <w:tcPr>
            <w:tcW w:type="dxa" w:w="4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HeatPumpWaterHeater: 1,000–1,100 kWh</w:t>
            </w:r>
          </w:p>
        </w:tc>
        <w:tc>
          <w:tcPr>
            <w:tcW w:type="dxa" w:w="47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test_devices.py</w:t>
            </w:r>
          </w:p>
        </w:tc>
      </w:tr>
      <w:tr>
        <w:tc>
          <w:tcPr>
            <w:tcW w:type="dxa" w:w="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7</w:t>
            </w:r>
          </w:p>
        </w:tc>
        <w:tc>
          <w:tcPr>
            <w:tcW w:type="dxa" w:w="4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cost_history_by_category: exactly n_steps entries</w:t>
            </w:r>
          </w:p>
        </w:tc>
        <w:tc>
          <w:tcPr>
            <w:tcW w:type="dxa" w:w="47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test_journey.py</w:t>
            </w:r>
          </w:p>
        </w:tc>
      </w:tr>
      <w:tr>
        <w:tc>
          <w:tcPr>
            <w:tcW w:type="dxa" w:w="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8</w:t>
            </w:r>
          </w:p>
        </w:tc>
        <w:tc>
          <w:tcPr>
            <w:tcW w:type="dxa" w:w="4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App loads with WhyWatt branding</w:t>
            </w:r>
          </w:p>
        </w:tc>
        <w:tc>
          <w:tcPr>
            <w:tcW w:type="dxa" w:w="47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solara run src/app.py</w:t>
            </w:r>
          </w:p>
        </w:tc>
      </w:tr>
      <w:tr>
        <w:tc>
          <w:tcPr>
            <w:tcW w:type="dxa" w:w="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9</w:t>
            </w:r>
          </w:p>
        </w:tc>
        <w:tc>
          <w:tcPr>
            <w:tcW w:type="dxa" w:w="4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HVAC swap_year=3 produces CapEx spike at year 3</w:t>
            </w:r>
          </w:p>
        </w:tc>
        <w:tc>
          <w:tcPr>
            <w:tcW w:type="dxa" w:w="47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Manual / journey test</w:t>
            </w:r>
          </w:p>
        </w:tc>
      </w:tr>
      <w:tr>
        <w:tc>
          <w:tcPr>
            <w:tcW w:type="dxa" w:w="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10</w:t>
            </w:r>
          </w:p>
        </w:tc>
        <w:tc>
          <w:tcPr>
            <w:tcW w:type="dxa" w:w="4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Baseline exceeds journey after all swaps (stress)</w:t>
            </w:r>
          </w:p>
        </w:tc>
        <w:tc>
          <w:tcPr>
            <w:tcW w:type="dxa" w:w="47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test_journey.py</w:t>
            </w:r>
          </w:p>
        </w:tc>
      </w:tr>
      <w:tr>
        <w:tc>
          <w:tcPr>
            <w:tcW w:type="dxa" w:w="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11</w:t>
            </w:r>
          </w:p>
        </w:tc>
        <w:tc>
          <w:tcPr>
            <w:tcW w:type="dxa" w:w="4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Comparison mode: 4-series charts correct</w:t>
            </w:r>
          </w:p>
        </w:tc>
        <w:tc>
          <w:tcPr>
            <w:tcW w:type="dxa" w:w="47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Manual UI check</w:t>
            </w:r>
          </w:p>
        </w:tc>
      </w:tr>
      <w:tr>
        <w:tc>
          <w:tcPr>
            <w:tcW w:type="dxa" w:w="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12</w:t>
            </w:r>
          </w:p>
        </w:tc>
        <w:tc>
          <w:tcPr>
            <w:tcW w:type="dxa" w:w="4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RateLoader: 0.310 for elec Jun 2023</w:t>
            </w:r>
          </w:p>
        </w:tc>
        <w:tc>
          <w:tcPr>
            <w:tcW w:type="dxa" w:w="47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test_rate_loader.py</w:t>
            </w:r>
          </w:p>
        </w:tc>
      </w:tr>
      <w:tr>
        <w:tc>
          <w:tcPr>
            <w:tcW w:type="dxa" w:w="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13</w:t>
            </w:r>
          </w:p>
        </w:tc>
        <w:tc>
          <w:tcPr>
            <w:tcW w:type="dxa" w:w="4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Logo placeholder: no crash when PNG missing</w:t>
            </w:r>
          </w:p>
        </w:tc>
        <w:tc>
          <w:tcPr>
            <w:tcW w:type="dxa" w:w="47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Manual / guard test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8.  Test &amp; Validation Strategy</w:t>
      </w:r>
    </w:p>
    <w:p>
      <w:pPr>
        <w:spacing w:after="1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Tests are written alongside each objective — not after. The five layers work together: unit tests catch formula bugs, integration tests catch wiring bugs, directional tests catch sign/unit errors, snapshot tests catch regressions, and the debug export + validation notebook provide human-readable audits.</w:t>
      </w:r>
    </w:p>
    <w:p>
      <w:pPr>
        <w:spacing w:after="8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D6FBF"/>
          <w:sz w:val="26"/>
          <w:szCs w:val="26"/>
        </w:rPr>
        <w:t xml:space="preserve">8.1  Layer 1 — Unit Tests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What they catch: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formula errors, wrong constants, shape violations, boundary conditions. Run on every save — &lt; 1 second total.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00"/>
        <w:gridCol w:w="5960"/>
      </w:tblGrid>
      <w:tr>
        <w:trPr>
          <w:tblHeader/>
        </w:trPr>
        <w:tc>
          <w:tcPr>
            <w:tcW w:type="dxa" w:w="28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Objective</w:t>
            </w:r>
          </w:p>
        </w:tc>
        <w:tc>
          <w:tcPr>
            <w:tcW w:type="dxa" w:w="59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Covers</w:t>
            </w:r>
          </w:p>
        </w:tc>
      </w:tr>
      <w:tr>
        <w:tc>
          <w:tcPr>
            <w:tcW w:type="dxa" w:w="2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tests/test_rate_loader.py</w:t>
            </w:r>
          </w:p>
        </w:tc>
        <w:tc>
          <w:tcPr>
            <w:tcW w:type="dxa" w:w="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W w:type="dxa" w:w="59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RateLoader historical lookup, CAGR projection, scenario ordering</w:t>
            </w:r>
          </w:p>
        </w:tc>
      </w:tr>
      <w:tr>
        <w:tc>
          <w:tcPr>
            <w:tcW w:type="dxa" w:w="2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tests/test_devices.py</w:t>
            </w:r>
          </w:p>
        </w:tc>
        <w:tc>
          <w:tcPr>
            <w:tcW w:type="dxa" w:w="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</w:t>
            </w:r>
          </w:p>
        </w:tc>
        <w:tc>
          <w:tcPr>
            <w:tcW w:type="dxa" w:w="59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All PhysicsDevice outputs within ±5%, shape (12,), SeasonalDevice, EVCharger</w:t>
            </w:r>
          </w:p>
        </w:tc>
      </w:tr>
      <w:tr>
        <w:tc>
          <w:tcPr>
            <w:tcW w:type="dxa" w:w="2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tests/test_journey.py</w:t>
            </w:r>
          </w:p>
        </w:tc>
        <w:tc>
          <w:tcPr>
            <w:tcW w:type="dxa" w:w="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3</w:t>
            </w:r>
          </w:p>
        </w:tc>
        <w:tc>
          <w:tcPr>
            <w:tcW w:type="dxa" w:w="59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DeviceSlot swap logic, CapEx events, cost_history_by_category length</w:t>
            </w:r>
          </w:p>
        </w:tc>
      </w:tr>
      <w:tr>
        <w:tc>
          <w:tcPr>
            <w:tcW w:type="dxa" w:w="2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tests/test_dual_scenario.py</w:t>
            </w:r>
          </w:p>
        </w:tc>
        <w:tc>
          <w:tcPr>
            <w:tcW w:type="dxa" w:w="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5</w:t>
            </w:r>
          </w:p>
        </w:tc>
        <w:tc>
          <w:tcPr>
            <w:tcW w:type="dxa" w:w="59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Scenario A vs B independence, stress &gt; moderate over 20 years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Key unit test cases (beyond the ±5% physics targets in §2.4):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F5A623" w:sz="12"/>
              <w:bottom w:val="single" w:color="DDDDDD" w:sz="4"/>
              <w:right w:val="single" w:color="DDDDDD" w:sz="4"/>
            </w:tcBorders>
            <w:shd w:fill="F0F0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 Shape contract — every device, always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assert device.monthly_consumption().shape == (12,)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 Cost identity for flat rates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rates = np.full(12, 0.386)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assert np.isclose(device.monthly_cost(rates).sum(),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             device.annual_consumption() * 0.386, rtol=1e-6)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 Rate loader boundaries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assert rate_loader.get_rate("electricity", 2025, 12) == 0.386  # last historical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assert rate_loader.get_rate("electricity", 2026,  1) &gt;  0.386  # projection kicks in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 Unknown scenario raises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with pytest.raises(ValueError):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rate_loader.get_rate("electricity", 2030, 1, scenario="unknown")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D6FBF"/>
          <w:sz w:val="26"/>
          <w:szCs w:val="26"/>
        </w:rPr>
        <w:t xml:space="preserve">8.2  Layer 2 — Integration / Scenario Tests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What they catch: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wiring bugs — rates not passed through, baseline inheriting swap years, CapEx double-counted, DataCollector reporters returning stale data.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F5A623" w:sz="12"/>
              <w:bottom w:val="single" w:color="DDDDDD" w:sz="4"/>
              <w:right w:val="single" w:color="DDDDDD" w:sz="4"/>
            </w:tcBorders>
            <w:shd w:fill="F0F0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 After all swaps, journey home must cost less than baseline (stress scenario)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model = HESModel(scenario="stress", years=20, all_swap_years_set=True)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model.run_all()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assert model.baseline_home.cumulative_opex &gt; model.journey_home.cumulative_opex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 DataCollector has exactly n_years rows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df = model.datacollector.get_model_vars_dataframe()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assert len(df) == model.n_years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 cost_history_by_category has exactly n_steps entries per category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for cat, history in model.journey_home.cost_history_by_category.items():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assert len(history) == model.n_years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 CapEx spike appears only at swap_year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capex = model.journey_home.capex_by_year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assert capex[3] &gt; 0    # swap at year 3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assert capex[2] == 0   # nothing before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assert capex[4] == 0   # nothing after (unless end-of-life coincides)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 comparison_mode=False: no _b attributes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model_single = HESModel(comparison_mode=False)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assert not hasattr(model_single, 'journey_home_b')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D6FBF"/>
          <w:sz w:val="26"/>
          <w:szCs w:val="26"/>
        </w:rPr>
        <w:t xml:space="preserve">8.3  Layer 3 — Physics Sanity / Directional Tests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What they catch: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sign errors and unit confusion that still pass the ±5% absolute check by coincidence. These assert the direction of physical relationships, not absolute values.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F5A623" w:sz="12"/>
              <w:bottom w:val="single" w:color="DDDDDD" w:sz="4"/>
              <w:right w:val="single" w:color="DDDDDD" w:sz="4"/>
            </w:tcBorders>
            <w:shd w:fill="F0F0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 More HDD → more heating consumption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furnace_cold = GasFurnace(ua=500, afue=0.80, monthly_hdd=hdd_cold)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furnace_mild = GasFurnace(ua=500, afue=0.80, monthly_hdd=hdd_mild)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assert furnace_cold.annual_consumption() &gt; furnace_mild.annual_consumption()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 Better insulation → lower consumption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assert GasFurnace(ua=350, ...).annual_consumption() &lt; GasFurnace(ua=650, ...).annual_consumption()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 Higher COP → lower kWh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assert HeatPumpHVAC(cop=4.0, ...).annual_consumption() &lt; HeatPumpHVAC(cop=3.0, ...).annual_consumption()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 Warmer inlet water → less water heating energy (smaller ΔT)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assert GasWaterHeater(monthly_inlet=[65]*12, ...).annual_consumption() &lt; \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  GasWaterHeater(monthly_inlet=[54]*12, ...).annual_consumption()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 Stress scenario rates exceed moderate in every future year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for year in range(2026, 2046):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assert rate_loader.get_rate("gas", year, 6, "stress") &gt; \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      rate_loader.get_rate("gas", year, 6, "moderate")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D6FBF"/>
          <w:sz w:val="26"/>
          <w:szCs w:val="26"/>
        </w:rPr>
        <w:t xml:space="preserve">8.4  Layer 4 — Debug / Audit Export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What it catches: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errors invisible to automated tests — seasonal profiles that look flat when they should peak in winter, a CapEx event that fires in the wrong year. Also the primary tool for stakeholder review.</w:t>
      </w:r>
    </w:p>
    <w:p>
      <w:pPr>
        <w:spacing w:after="80"/>
      </w:pPr>
      <w:r>
        <w:t xml:space="preserve"/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Implementation: </w:t>
      </w: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JourneyHome.export_debug_csv(path)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— called via </w:t>
      </w: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model.export_debug_csv("debug_run.csv")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or a UI button.</w:t>
      </w:r>
    </w:p>
    <w:p>
      <w:pPr>
        <w:spacing w:after="80"/>
      </w:pPr>
      <w:r>
        <w:t xml:space="preserve"/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Per-device monthly export — one row per (year, device, month)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F5A623" w:sz="12"/>
              <w:bottom w:val="single" w:color="DDDDDD" w:sz="4"/>
              <w:right w:val="single" w:color="DDDDDD" w:sz="4"/>
            </w:tcBorders>
            <w:shd w:fill="F0F0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year, device,       fuel,        month, consumption, unit,   rate,  cost,  is_electric, age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2025, HVAC,         gas,         1,     28.4,         therms, 2.08,  59.07, False,       11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2025, HVAC,         gas,         2,     23.0,         therms, 2.08,  47.84, False,       11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2028, HVAC,         electricity, 1,     160.8,        kWh,    0.451, 72.52, True,        1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2028, Water Heater, electricity, 1,     87.5,         kWh,    0.451, 39.46, True,        1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CapEx event export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F5A623" w:sz="12"/>
              <w:bottom w:val="single" w:color="DDDDDD" w:sz="4"/>
              <w:right w:val="single" w:color="DDDDDD" w:sz="4"/>
            </w:tcBorders>
            <w:shd w:fill="F0F0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year, device,       event_type,  cost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2028, HVAC,         swap,        10500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2035, Water Heater, end_of_life, 2500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  <w:spacing w:after="100" w:before="22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Review workflow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Run model.export_debug_csv("debug_run.csv")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Open in Excel → pivot by device/year → chart monthly profiles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Cross-check HVAC monthly therms against HDD[m] × formula by hand for one month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Verify swap-year rows show gas → electric transition mid-series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Confirm seasonal shape: HVAC peaks Jan/Feb, water heating peaks in winter</w:t>
      </w:r>
    </w:p>
    <w:p>
      <w:pPr>
        <w:spacing w:after="8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D6FBF"/>
          <w:sz w:val="26"/>
          <w:szCs w:val="26"/>
        </w:rPr>
        <w:t xml:space="preserve">8.5  Layer 5 — Snapshot / Regression Tests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What they catch: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silent regressions — a refactor that shifts costs by 0.3% across all years, or a rate-loading change that only shows up in year 15.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F5A623" w:sz="12"/>
              <w:bottom w:val="single" w:color="DDDDDD" w:sz="4"/>
              <w:right w:val="single" w:color="DDDDDD" w:sz="4"/>
            </w:tcBorders>
            <w:shd w:fill="F0F0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 tests/test_regression.py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FIXTURE = "tests/fixtures/reference_run_moderate_20yr.json"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def test_regression_moderate_20yr():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model = HESModel(scenario="moderate", years=20, sim_start_year=2025,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                insulation_quality="average")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model.run_all()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df = model.datacollector.get_model_vars_dataframe()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reference = pd.read_json(FIXTURE)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# Cumulative cost must match within 0.5%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assert np.allclose(df["Journey Cum Cost"],  reference["Journey Cum Cost"],  rtol=0.005)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assert np.allclose(df["Baseline Cum Cost"], reference["Baseline Cum Cost"], rtol=0.005)</w:t>
            </w:r>
          </w:p>
        </w:tc>
      </w:tr>
    </w:tbl>
    <w:p>
      <w:pPr>
        <w:spacing w:after="1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Regenerate fixtures with pytest --update-snapshots after a deliberate model change. Never auto-regenerate in CI.</w:t>
      </w:r>
    </w:p>
    <w:p>
      <w:pPr>
        <w:spacing w:after="8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D6FBF"/>
          <w:sz w:val="26"/>
          <w:szCs w:val="26"/>
        </w:rPr>
        <w:t xml:space="preserve">8.6  Validation Notebook</w:t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File: </w:t>
      </w: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notebooks/validation.ipynb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— run manually before each merge, not in CI.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900"/>
        <w:gridCol w:w="5660"/>
      </w:tblGrid>
      <w:tr>
        <w:trPr>
          <w:tblHeader/>
        </w:trPr>
        <w:tc>
          <w:tcPr>
            <w:tcW w:type="dxa" w:w="28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Section</w:t>
            </w:r>
          </w:p>
        </w:tc>
        <w:tc>
          <w:tcPr>
            <w:tcW w:type="dxa" w:w="9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Add in</w:t>
            </w:r>
          </w:p>
        </w:tc>
        <w:tc>
          <w:tcPr>
            <w:tcW w:type="dxa" w:w="56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Shows</w:t>
            </w:r>
          </w:p>
        </w:tc>
      </w:tr>
      <w:tr>
        <w:tc>
          <w:tcPr>
            <w:tcW w:type="dxa" w:w="2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 — Device physics table</w:t>
            </w:r>
          </w:p>
        </w:tc>
        <w:tc>
          <w:tcPr>
            <w:tcW w:type="dxa" w:w="9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Obj 2</w:t>
            </w:r>
          </w:p>
        </w:tc>
        <w:tc>
          <w:tcPr>
            <w:tcW w:type="dxa" w:w="5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Actual vs. expected vs. ±5% for all PhysicsDevices</w:t>
            </w:r>
          </w:p>
        </w:tc>
      </w:tr>
      <w:tr>
        <w:tc>
          <w:tcPr>
            <w:tcW w:type="dxa" w:w="2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 — Rate loader chart</w:t>
            </w:r>
          </w:p>
        </w:tc>
        <w:tc>
          <w:tcPr>
            <w:tcW w:type="dxa" w:w="9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Obj 1</w:t>
            </w:r>
          </w:p>
        </w:tc>
        <w:tc>
          <w:tcPr>
            <w:tcW w:type="dxa" w:w="5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Historical + projected rates 2018–2050, all three scenarios</w:t>
            </w:r>
          </w:p>
        </w:tc>
      </w:tr>
      <w:tr>
        <w:tc>
          <w:tcPr>
            <w:tcW w:type="dxa" w:w="2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3 — 20-year scenario run</w:t>
            </w:r>
          </w:p>
        </w:tc>
        <w:tc>
          <w:tcPr>
            <w:tcW w:type="dxa" w:w="9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Obj 3</w:t>
            </w:r>
          </w:p>
        </w:tc>
        <w:tc>
          <w:tcPr>
            <w:tcW w:type="dxa" w:w="5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Cumulative cost curves, journey vs. baseline, moderate scenario</w:t>
            </w:r>
          </w:p>
        </w:tc>
      </w:tr>
      <w:tr>
        <w:tc>
          <w:tcPr>
            <w:tcW w:type="dxa" w:w="2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4 — Monthly profile chart</w:t>
            </w:r>
          </w:p>
        </w:tc>
        <w:tc>
          <w:tcPr>
            <w:tcW w:type="dxa" w:w="9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Obj 3</w:t>
            </w:r>
          </w:p>
        </w:tc>
        <w:tc>
          <w:tcPr>
            <w:tcW w:type="dxa" w:w="5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HVAC monthly kWh/therms — winter heating + summer cooling peaks</w:t>
            </w:r>
          </w:p>
        </w:tc>
      </w:tr>
      <w:tr>
        <w:tc>
          <w:tcPr>
            <w:tcW w:type="dxa" w:w="2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5 — Debug CSV pivot</w:t>
            </w:r>
          </w:p>
        </w:tc>
        <w:tc>
          <w:tcPr>
            <w:tcW w:type="dxa" w:w="9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Obj 3</w:t>
            </w:r>
          </w:p>
        </w:tc>
        <w:tc>
          <w:tcPr>
            <w:tcW w:type="dxa" w:w="5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Annual cost by device and fuel, spot-check year 1 vs manual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D6FBF" w:sz="6"/>
              <w:left w:val="single" w:color="2D6FBF" w:sz="18"/>
              <w:bottom w:val="single" w:color="2D6FBF" w:sz="6"/>
              <w:right w:val="single" w:color="2D6FBF" w:sz="6"/>
            </w:tcBorders>
            <w:shd w:fill="EEF4FC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B3A6B"/>
                <w:sz w:val="22"/>
                <w:szCs w:val="22"/>
              </w:rPr>
              <w:t xml:space="preserve">Section 2 catches the subtlest bug: a discontinuity at the 2025/2026 boundary where historical rates hand off to projected rates. Easy to see in a chart, impossible to spot in raw numbers.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D6FBF"/>
          <w:sz w:val="26"/>
          <w:szCs w:val="26"/>
        </w:rPr>
        <w:t xml:space="preserve">8.7  Shared Fixtures — conftest.py</w:t>
      </w:r>
    </w:p>
    <w:p>
      <w:pPr>
        <w:spacing w:after="14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All test files share a tests/conftest.py to avoid copy-paste of climate constants, rate loaders, and slot configs: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F5A623" w:sz="12"/>
              <w:bottom w:val="single" w:color="DDDDDD" w:sz="4"/>
              <w:right w:val="single" w:color="DDDDDD" w:sz="4"/>
            </w:tcBorders>
            <w:shd w:fill="F0F0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 tests/conftest.py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import pytest, numpy as np, json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from pathlib import Path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DATA = Path(__file__).parent.parent / "data"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@pytest.fixture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def bay_area_climate():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with open(DATA / "climate/bayarea_tmy3.json") as f: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   return json.load(f)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@pytest.fixture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def monthly_hdd(bay_area_climate):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return np.array(bay_area_climate["monthly_hdd_65f"], dtype=float)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@pytest.fixture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def monthly_cdd(bay_area_climate):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return np.array(bay_area_climate["monthly_cdd_65f"], dtype=float)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@pytest.fixture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def monthly_inlet_temp(bay_area_climate):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return np.array(bay_area_climate["monthly_inlet_water_temp_f"], dtype=float)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@pytest.fixture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def flat_elec_rates(): return np.full(12, 0.386)   # $0.386/kWh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@pytest.fixture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def flat_gas_rates():  return np.full(12, 2.08)    # $2.08/therm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@pytest.fixture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def rate_loader():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from src.rate_loader import RateLoader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return RateLoader()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@pytest.fixture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def default_slots():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with open(DATA / "homes/journey_slots_default.json") as f: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   return json.load(f)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D6FBF"/>
          <w:sz w:val="26"/>
          <w:szCs w:val="26"/>
        </w:rPr>
        <w:t xml:space="preserve">8.8  Test Sequencing by Objective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500"/>
        <w:gridCol w:w="3660"/>
      </w:tblGrid>
      <w:tr>
        <w:trPr>
          <w:tblHeader/>
        </w:trPr>
        <w:tc>
          <w:tcPr>
            <w:tcW w:type="dxa" w:w="12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Objective</w:t>
            </w:r>
          </w:p>
        </w:tc>
        <w:tc>
          <w:tcPr>
            <w:tcW w:type="dxa" w:w="45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Write these</w:t>
            </w:r>
          </w:p>
        </w:tc>
        <w:tc>
          <w:tcPr>
            <w:tcW w:type="dxa" w:w="36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Gate: must pass before next</w:t>
            </w:r>
          </w:p>
        </w:tc>
      </w:tr>
      <w:tr>
        <w:tc>
          <w:tcPr>
            <w:tcW w:type="dxa" w:w="1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0</w:t>
            </w:r>
          </w:p>
        </w:tc>
        <w:tc>
          <w:tcPr>
            <w:tcW w:type="dxa" w:w="4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None (visual)</w:t>
            </w:r>
          </w:p>
        </w:tc>
        <w:tc>
          <w:tcPr>
            <w:tcW w:type="dxa" w:w="3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W w:type="dxa" w:w="4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test_rate_loader.py (Layers 1 + 3)</w:t>
            </w:r>
          </w:p>
        </w:tc>
        <w:tc>
          <w:tcPr>
            <w:tcW w:type="dxa" w:w="3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1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2</w:t>
            </w:r>
          </w:p>
        </w:tc>
        <w:tc>
          <w:tcPr>
            <w:tcW w:type="dxa" w:w="4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test_devices.py (Layers 1 + 3)</w:t>
            </w:r>
          </w:p>
        </w:tc>
        <w:tc>
          <w:tcPr>
            <w:tcW w:type="dxa" w:w="3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1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3</w:t>
            </w:r>
          </w:p>
        </w:tc>
        <w:tc>
          <w:tcPr>
            <w:tcW w:type="dxa" w:w="4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test_journey.py (Layers 1 + 2); conftest.py; debug CSV export</w:t>
            </w:r>
          </w:p>
        </w:tc>
        <w:tc>
          <w:tcPr>
            <w:tcW w:type="dxa" w:w="3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1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4</w:t>
            </w:r>
          </w:p>
        </w:tc>
        <w:tc>
          <w:tcPr>
            <w:tcW w:type="dxa" w:w="4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Grep check; full pytest tests/</w:t>
            </w:r>
          </w:p>
        </w:tc>
        <w:tc>
          <w:tcPr>
            <w:tcW w:type="dxa" w:w="3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Yes — zero MMBtu</w:t>
            </w:r>
          </w:p>
        </w:tc>
      </w:tr>
      <w:tr>
        <w:tc>
          <w:tcPr>
            <w:tcW w:type="dxa" w:w="1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5</w:t>
            </w:r>
          </w:p>
        </w:tc>
        <w:tc>
          <w:tcPr>
            <w:tcW w:type="dxa" w:w="4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test_dual_scenario.py (Layer 2)</w:t>
            </w:r>
          </w:p>
        </w:tc>
        <w:tc>
          <w:tcPr>
            <w:tcW w:type="dxa" w:w="3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1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6</w:t>
            </w:r>
          </w:p>
        </w:tc>
        <w:tc>
          <w:tcPr>
            <w:tcW w:type="dxa" w:w="45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Manual UI smoke; regression fixture generation (Layer 5)</w:t>
            </w:r>
          </w:p>
        </w:tc>
        <w:tc>
          <w:tcPr>
            <w:tcW w:type="dxa" w:w="36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Notebook sections 3–5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40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Running the suite: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F5A623" w:sz="12"/>
              <w:bottom w:val="single" w:color="DDDDDD" w:sz="4"/>
              <w:right w:val="single" w:color="DDDDDD" w:sz="4"/>
            </w:tcBorders>
            <w:shd w:fill="F0F0F0" w:val="clear"/>
            <w:tcMar>
              <w:top w:type="dxa" w:w="100"/>
              <w:left w:type="dxa" w:w="20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pytest tests/ -v                    # all tests, verbose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pytest tests/test_devices.py -v     # single file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pytest tests/ -k "furnace"          # filter by name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pytest tests/ --update-snapshots    # regenerate regression fixtures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6B"/>
          <w:sz w:val="32"/>
          <w:szCs w:val="32"/>
        </w:rPr>
        <w:t xml:space="preserve">7.  Deferred to Phase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5360"/>
            <w:tcBorders>
              <w:top w:val="single" w:color="1B3A6B" w:sz="8"/>
              <w:left w:val="single" w:color="1B3A6B" w:sz="4"/>
              <w:bottom w:val="single" w:color="1B3A6B" w:sz="8"/>
              <w:right w:val="single" w:color="1B3A6B" w:sz="4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 3 Approach</w:t>
            </w:r>
          </w:p>
        </w:tc>
      </w:tr>
      <w:tr>
        <w:tc>
          <w:tcPr>
            <w:tcW w:type="dxa" w:w="4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TOU rate structures (E-TOU-C)</w:t>
            </w:r>
          </w:p>
        </w:tc>
        <w:tc>
          <w:tcPr>
            <w:tcW w:type="dxa" w:w="5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Time-of-day dispatch model for HVAC + EV</w:t>
            </w:r>
          </w:p>
        </w:tc>
      </w:tr>
      <w:tr>
        <w:tc>
          <w:tcPr>
            <w:tcW w:type="dxa" w:w="4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NEM3 / solar net metering</w:t>
            </w:r>
          </w:p>
        </w:tc>
        <w:tc>
          <w:tcPr>
            <w:tcW w:type="dxa" w:w="5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PVWatts API + Net Billing Tariff</w:t>
            </w:r>
          </w:p>
        </w:tc>
      </w:tr>
      <w:tr>
        <w:tc>
          <w:tcPr>
            <w:tcW w:type="dxa" w:w="4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Rebate database (DSIRE API)</w:t>
            </w:r>
          </w:p>
        </w:tc>
        <w:tc>
          <w:tcPr>
            <w:tcW w:type="dxa" w:w="5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Dynamic rebate lookup by zip + income</w:t>
            </w:r>
          </w:p>
        </w:tc>
      </w:tr>
      <w:tr>
        <w:tc>
          <w:tcPr>
            <w:tcW w:type="dxa" w:w="4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Carbon / emissions tracking</w:t>
            </w:r>
          </w:p>
        </w:tc>
        <w:tc>
          <w:tcPr>
            <w:tcW w:type="dxa" w:w="5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CAISO marginal emissions factor</w:t>
            </w:r>
          </w:p>
        </w:tc>
      </w:tr>
      <w:tr>
        <w:tc>
          <w:tcPr>
            <w:tcW w:type="dxa" w:w="4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Health cost model (PM2.5)</w:t>
            </w:r>
          </w:p>
        </w:tc>
        <w:tc>
          <w:tcPr>
            <w:tcW w:type="dxa" w:w="5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RMI / UCSF literature coefficients</w:t>
            </w:r>
          </w:p>
        </w:tc>
      </w:tr>
      <w:tr>
        <w:tc>
          <w:tcPr>
            <w:tcW w:type="dxa" w:w="4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Full EPW weather-file model</w:t>
            </w:r>
          </w:p>
        </w:tc>
        <w:tc>
          <w:tcPr>
            <w:tcW w:type="dxa" w:w="5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EnergyPlus hourly building load</w:t>
            </w:r>
          </w:p>
        </w:tc>
      </w:tr>
      <w:tr>
        <w:tc>
          <w:tcPr>
            <w:tcW w:type="dxa" w:w="4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SCE / SMUD rate comparison</w:t>
            </w:r>
          </w:p>
        </w:tc>
        <w:tc>
          <w:tcPr>
            <w:tcW w:type="dxa" w:w="5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Utility selector + rate table database</w:t>
            </w:r>
          </w:p>
        </w:tc>
      </w:tr>
      <w:tr>
        <w:tc>
          <w:tcPr>
            <w:tcW w:type="dxa" w:w="4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Financing / loan scenarios</w:t>
            </w:r>
          </w:p>
        </w:tc>
        <w:tc>
          <w:tcPr>
            <w:tcW w:type="dxa" w:w="5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Amortisation overlay on CapEx events</w:t>
            </w:r>
          </w:p>
        </w:tc>
      </w:tr>
      <w:tr>
        <w:tc>
          <w:tcPr>
            <w:tcW w:type="dxa" w:w="4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Monte Carlo uncertainty</w:t>
            </w:r>
          </w:p>
        </w:tc>
        <w:tc>
          <w:tcPr>
            <w:tcW w:type="dxa" w:w="5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Price + efficiency distributions</w:t>
            </w:r>
          </w:p>
        </w:tc>
      </w:tr>
      <w:tr>
        <w:tc>
          <w:tcPr>
            <w:tcW w:type="dxa" w:w="4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Multi-journey comparison</w:t>
            </w:r>
          </w:p>
        </w:tc>
        <w:tc>
          <w:tcPr>
            <w:tcW w:type="dxa" w:w="5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EF4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Two user-defined journeys side by side</w:t>
            </w:r>
          </w:p>
        </w:tc>
      </w:tr>
    </w:tbl>
    <w:p>
      <w:pPr>
        <w:spacing w:after="8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2"/>
      </w:pBdr>
      <w:spacing w:before="80"/>
    </w:pPr>
    <w:r>
      <w:rPr>
        <w:rFonts w:ascii="Arial" w:cs="Arial" w:eastAsia="Arial" w:hAnsi="Arial"/>
        <w:i/>
        <w:iCs/>
        <w:color w:val="888888"/>
        <w:sz w:val="16"/>
        <w:szCs w:val="16"/>
      </w:rPr>
      <w:t xml:space="preserve">Confidential — WhyWatt? Internal Development Document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5A623" w:sz="4" w:space="2"/>
      </w:pBdr>
      <w:tabs>
        <w:tab w:val="right" w:pos="9360"/>
      </w:tabs>
      <w:spacing w:after="120"/>
    </w:pPr>
    <w:r>
      <w:rPr>
        <w:rFonts w:ascii="Arial" w:cs="Arial" w:eastAsia="Arial" w:hAnsi="Arial"/>
        <w:color w:val="1B3A6B"/>
        <w:sz w:val="18"/>
        <w:szCs w:val="18"/>
      </w:rPr>
      <w:t xml:space="preserve">⚡ WhyWatt? — Phase 2 Development Specification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2D6FB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F5A623" w:sz="6" w:space="4"/>
      </w:pBdr>
      <w:spacing w:after="200" w:before="360"/>
      <w:outlineLvl w:val="0"/>
    </w:pPr>
    <w:rPr>
      <w:rFonts w:ascii="Arial" w:cs="Arial" w:eastAsia="Arial" w:hAnsi="Arial"/>
      <w:b/>
      <w:bCs/>
      <w:color w:val="1B3A6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D6FB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rFonts w:ascii="Arial" w:cs="Arial" w:eastAsia="Arial" w:hAnsi="Arial"/>
      <w:b/>
      <w:bCs/>
      <w:color w:val="1B3A6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2026-05-18T22:49:44.680Z</dcterms:created>
  <dcterms:modified xsi:type="dcterms:W3CDTF">2026-05-18T22:49:44.686Z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