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Home Electrification Simulator</w:t>
      </w:r>
    </w:p>
    <w:p>
      <w:pPr>
        <w:spacing w:after="2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Phase 2 Development Plan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Status: Draft  ·  Precedes: Phase 1 feedback incorporation</w:t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  Overview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1 established a working simulation: two homes, energy cost tracking, CapEx replacement, an EN-ROADS-inspired Solara UI, and 42 unit tests. All energy quantities were expressed in the internal unit MMBtu — a necessary simplification to get the core running.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2 replaces that simplification with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physically accurate, natively-typed energy models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for every appliance category. The two primary goals are: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Accuracy: model each device in its natural unit (kWh for electrical, therms for gas) using ENERGY STAR and DOE reference data.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Scenario comparison: let advocates run two gas price escalation scenarios side-by-side to show the financial risk of staying on gas — including stress scenarios informed by the CEC's low-carbon gas transition analysis.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What does NOT change in Phase 2: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the Mesa simulation structure, the Solara UI layout, the CapEx replacement model, and the two-home (baseline vs. electrified) comparison. Phase 2 improves the numbers inside the existing architecture.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  Data Sources &amp; Methodology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2.1  Electrical Appliances — ENERGY STAR &amp; DOE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electrical appliance defaults will be sourced from ENERGY STAR certified product data (2024) and the DOE Appliance Standards database. The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cycle-based model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is the standard representation: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annual_kWh  =  kWh_per_cycle  ×  cycles_per_week  ×  52  ×  seasonality_factor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Users may adjust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cycles_per_week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kWh_per_cycle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in the UI. ENERGY STAR values are the starting point.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1400"/>
        <w:gridCol w:w="15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ENERGY STAR / DOE kWh per cycle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kWh (default)</w:t>
            </w:r>
          </w:p>
        </w:tc>
        <w:tc>
          <w:tcPr>
            <w:tcW w:type="dxa" w:w="1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Clothes washer (electric)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v8.0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Clothes dryer (electric)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 test procedure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Heat pump dryer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468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Dishwasher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runs/week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std cycle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 oven /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uses/week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 2022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Induction cooktop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0.9 / 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 meals/week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EPRI 2023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Refrigerator (continuous)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1.35 kWh/day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493/year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 STAR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charger (Level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10.0 kWh/session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session/night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3,650/year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EPA 2024 avg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Lights + plug 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~1,200/year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RECS 2020 CA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 URLs:  </w:t>
      </w:r>
      <w:hyperlink w:history="1" r:id="rIdvkyhondqxhynkzwxitpov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energystar.gov/productfinder</w:t>
        </w:r>
      </w:hyperlink>
      <w:r>
        <w:rPr>
          <w:rFonts w:ascii="Arial" w:cs="Arial" w:eastAsia="Arial" w:hAnsi="Arial"/>
          <w:color w:val="212121"/>
          <w:sz w:val="20"/>
          <w:szCs w:val="20"/>
        </w:rPr>
        <w:t xml:space="preserve">  ·  </w:t>
      </w:r>
      <w:hyperlink w:history="1" r:id="rId-rcv2x6gctjv_1x6g0aqm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EIA RECS 2020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2.2  Gas Appliances — AGA &amp; PG&amp;E Reference Data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Gas appliance consumption is modelled in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therms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. Reference values are drawn from the American Gas Association (AGA) residential consumption estimates and validated against PG&amp;E average customer usage data from CPUC Annual Report filings.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annual_therms  =  therms_per_cycle  ×  cycles_per_week  ×  52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Appliance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type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Therms / cycle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  <w:tc>
          <w:tcPr>
            <w:tcW w:type="dxa" w:w="1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therms (default)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furnace (AFUE 0.80)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HDD-based (see §2.4)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~380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water heater (UEF 0.65)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Gallons-based (see §2.4)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~210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dryer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 loads/week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57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cooktop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0.05 / meal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14 meals/week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36 therms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Gas fireplace (decorative)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1.5 /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2×/week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156 therms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Sources: AGA 'Residential Natural Gas Usage' (2022); PG&amp;E CPUC Annual Report 2023; </w:t>
      </w:r>
      <w:hyperlink w:history="1" r:id="rIdq8qlj64npdfwnudhqydzp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aga.org</w:t>
        </w:r>
      </w:hyperlink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2.3  Energy Pricing — CPUC / PG&amp;E 2024–2025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2 uses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flat effective rate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for each fuel type derived from PG&amp;E's 2024–2025 tariff schedules. TOU structures are deferred to Phase 3. The flat rate approximates a typical residential bill under Schedule E-1 (electricity) and Schedule G-1 (gas).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schedule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2024-25 effective rate</w:t>
            </w:r>
          </w:p>
        </w:tc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PG&amp;E E-1 (residential)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$0.40 / kWh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$/kWh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Blended Tier 1+2 avg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Natural 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PG&amp;E G-1 (residential)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$1.85 / therm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$/therm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Commodity +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 (reference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$0.38 / kWh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$/kWh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 future comparison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Sources: </w:t>
      </w:r>
      <w:hyperlink w:history="1" r:id="rId-uda0t40shogvfxrzuhbz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PG&amp;E Tariff Book (E-1, G-1)</w:t>
        </w:r>
      </w:hyperlink>
      <w:r>
        <w:rPr>
          <w:rFonts w:ascii="Arial" w:cs="Arial" w:eastAsia="Arial" w:hAnsi="Arial"/>
          <w:color w:val="212121"/>
          <w:sz w:val="20"/>
          <w:szCs w:val="20"/>
        </w:rPr>
        <w:t xml:space="preserve"> · CPUC Energy Division Rate Comparison Tool · EIA State Energy Data System (SEDS) for historical validation.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Historical CAGR Reference (2013–2023)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10-yr CAGR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PG&amp;E electricity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~6.2% / yr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Excludes 2020 COVID anomaly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SEDS Table F21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 residential 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~3.5% / yr avg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 volatility; 2022 spike +80%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SEDS Table N3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Pricing Scenario B — Gas Price Stress (CEC Reference)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second pricing scenario is informed by the CEC's </w:t>
      </w:r>
      <w:hyperlink w:history="1" r:id="rIdxtizzzls3ssfx7l0xxm3h">
        <w:r>
          <w:rPr>
            <w:rFonts w:ascii="Arial" w:cs="Arial" w:eastAsia="Arial" w:hAnsi="Arial"/>
            <w:color w:val="1565C0"/>
            <w:sz w:val="20"/>
            <w:szCs w:val="20"/>
          </w:rPr>
          <w:t xml:space="preserve">"The Challenge of Retail Gas in California's Low-Carbon Future" (CEC-500-2019-055)</w:t>
        </w:r>
      </w:hyperlink>
      <w:r>
        <w:rPr>
          <w:rFonts w:ascii="Arial" w:cs="Arial" w:eastAsia="Arial" w:hAnsi="Arial"/>
          <w:color w:val="212121"/>
          <w:sz w:val="20"/>
          <w:szCs w:val="20"/>
        </w:rPr>
        <w:t xml:space="preserve"> and similar analyses. As gas system utilisation declines and stranded infrastructure costs are spread over fewer customers, residential gas rates are projected to rise well above the historical CAGR.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Stress scenario parameters (Phase 2 defaults)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Gas CAGR:  10–15% / year (user-adjustable, range 6–20%)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Electricity CAGR:  4–6% / year (same as Scenario A or slightly higher for stress)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Rationale: CEC 'high-gas-cost' trajectory; also consistent with post-2022 PG&amp;E rate case projections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Label in UI:  'High gas price scenario (CEC stress)'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2.4  Climate Data — HVAC &amp; Water Heating Load Approximation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Phase 2 uses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fixed Bay Area climate constants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derived from the NREL TMY3 dataset (San Jose Mineta Airport, Station 724945). A full weather-file simulation is deferred to Phase 3.</w:t>
      </w:r>
    </w:p>
    <w:p>
      <w:pPr>
        <w:spacing w:after="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Heating Degree Days (HDD, base 65°F)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°F-days/year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NREL TMY3 Station 724945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Cooling Degree Days (CDD, base 65°F)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°F-days/year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NREL TMY3 Station 724945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Average inlet water temperature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NREL SRCC / DOE WH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 water setpoint temperature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°F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DOE standard assumption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Average household hot water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gallons/day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EIA RECS 2020 CA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Gas Furnace Load Formula (Phase 2 approximation)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annual_therms  =  HDD × 24 × UA_BTU_hr_F  /  (AFUE × 100,000)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where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UA_BTU_hr_F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is the home's thermal conductance (BTU/hr/°F), calibrated for a 2,200 sq ft 1995-built Bay Area home with average insulation to ≈ 500 BTU/hr/°F. Validation: 2,600 × 24 × 500 / (0.80 × 100,000)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390 therms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— consistent with PG&amp;E average gas heating customer data.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Heat Pump Heating Load Formula (Phase 2 approximation)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annual_kWh  =  HDD × 24 × UA_BTU_hr_F  /  (COP × 3,412)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Validation: 2,600 × 24 × 500 / (3.5 × 3,412)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2,610 kWh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— equivalent to ~89 therms of gas-equivalent heat, well within expected range for a mild Bay Area climate.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Water Heater Load Formula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annual_kWh_or_therms  =  gallons × 365 × 8.33 × ΔT × conversion_factor  /  UEF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where ΔT = 120°F − 55°F = 65°F inlet-to-setpoint rise;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conversion_factor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= 0.000293 kWh/BTU (electric) or 0.00001 therms/BTU (gas).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Validation: 65 gal × 365 × 8.33 × 65 × 0.000293 / 3.5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1,150 kWh/yr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(HPWH UEF 3.5)  ·  65 × 365 × 8.33 × 65 × 0.00001 / 0.65 ≈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210 therms/yr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(gas WH UEF 0.65). Both consistent with ENERGY STAR / PG&amp;E customer data.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  Technical Architecture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3.1  Unit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none" w:color="FFFFFF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Core rule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Each device stores and reports in its native unit: kWh (electrical) or therms (gas).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Pricing is applied in the same native unit: kWh × $/kWh  or  therms × $/therm.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'total energy' output view converts everything to kWh-equivalent (1 therm = 29.3 kWh) only for display in combined charts. This conversion never appears in simulation internals.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3.2  Class Hierarchy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existing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EnergyConsumer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base class is refactored into two typed branches:</w:t>
      </w:r>
    </w:p>
    <w:p>
      <w:pPr>
        <w:spacing w:after="4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2"/>
              <w:bottom w:val="single" w:color="BBBBBB" w:sz="1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EnergyConsumer  (abstract base — keeps seasonality, lifespan, CapEx)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ElectricalConsumer              native unit: kWh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CycleElectricalDevice        kWh/cycle × cycles/week × 52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ContinuousElectricalDevice   Watts × hrs/day × 365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├── HeatPumpHVAC                 HDD/CDD × UA / COP  (Phase 2)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   └── HeatPumpWaterHeater           gallons × ΔT / UEF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GasConsumer                     native unit: therms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GasCycleDevice               therms/cycle × cycles/week × 52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GasFurnace                   HDD × UA / AFUE</w:t>
            </w:r>
          </w:p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└── GasWaterHeater               gallons × ΔT / UEF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Dual-fuel devices (rare) are composed objects holding one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ElectricalConsumer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and one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GasConsumer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internally. They are treated as edge cases and not part of the base hierarchy.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3.3  Pricing Model — Dual Scenario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EnergyPrice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class from Phase 1 (monthly base prices + compound escalation) is extended to support two independent scenario instances per fuel type.</w:t>
      </w:r>
    </w:p>
    <w:p>
      <w:pPr>
        <w:spacing w:after="4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2"/>
              <w:bottom w:val="single" w:color="BBBBBB" w:sz="1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Default (single scenario):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one EnergyPrice for electricity + one for gas. Behaviour identical to Phase 1.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Comparison mode (opt-in):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user enables a second scenario. A second HESModel instance is instantiated with Scenario B's price parameters. The two models run independently; their outputs are overlaid on charts.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Lazy instantiation: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the second HESModel is only created when the user activates comparison mode. No performance cost in the default view.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Chart impact: the cumulative cost chart gains two additional lines (Scenario B baseline and electrified), giving four lines total. A legend distinguishes scenarios by line style (solid = Scenario A, dashed = Scenario B) with the existing grey/blue color coding retained.</w:t>
      </w:r>
    </w:p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4.  Implementation Objectives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Objectives are ordered by dependency. Each objective produces passing unit tests before the next begins.</w:t>
      </w:r>
    </w:p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Objective 1: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Unit Architecture &amp; Pricing Refactor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Drop MMBtu as internal unit throughout codebase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ElectricalConsumer and GasConsumer typed base classes with native unit storage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EnergyPrice to hold $/kWh or $/therm rates (sourced from PG&amp;E 2024-25 tariffs)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HESModel to carry native-unit prices; update DataCollector reporters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Define kWh-equivalent conversion layer (output only, not internal)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all 42 existing tests; add new unit tests for native pricing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Objective 2: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CycleElectricalDevice — ENERGY STAR Defaults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CycleElectricalDevice: kWh_per_cycle × cycles_per_week × 52 × seasonality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Build appliance_defaults.json with ENERGY STAR 2024 values for washer, dryer, dishwasher, oven, induction, refrigerator, EV charger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 controls: cycles_per_week (primary) and kWh_per_cycle (fine-tune)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electrified_home.json to use CycleElectricalDevice for baseload devices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verify annual_kWh, seasonality distribution, cost calculation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Objective 3: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Gas Appliance Classes — Therm-Native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GasCycleDevice: therms_per_cycle × cycles_per_week × 52 × seasonality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GasFurnace: HDD × UA_factor / (AFUE × 100,000) → therms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GasWaterHeater: gallons-per-day × ΔT formula → therms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Build gas_appliances.json with AGA reference values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baseline_home.json to use typed gas classes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validate against known Bay Area PG&amp;E usage benchmarks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Objective 4: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Heat Pump HVAC &amp; HPWH — kWh Native (Phase 2 approx)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HeatPumpHVAC: HDD/CDD × UA_factor / COP → kWh (heating + cooling)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Implement HeatPumpWaterHeater: gallons × ΔT / UEF → kWh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Load Bay Area TMY3 constants (HDD=2600, CDD=400) from climate_constants.json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UA_factor as a user-adjustable insulation proxy (slider: poor / average / good)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electrified_home.json to use HeatPumpHVAC and HeatPumpWaterHeater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validate kWh outputs against DOE/NREL reference ranges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Objective 5: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Dual Pricing Scenarios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Scenario B parameters to EnergyPrice: independent gas + elec escalation rates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comparison mode to HESModel runner: lazily instantiate second model on demand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Scenario A defaults: 3% elec CAGR, 4% gas CAGR (moderate / historical)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Scenario B defaults: 5% elec CAGR, 12% gas CAGR (CEC stress scenario)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DataCollector: extend reporters to carry both scenario outputs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Tests: verify lazy instantiation, scenario independence, correct cost separation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Objective 6: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UI — Appliance Controls &amp; Scenario Comparison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Replace annual-load sliders with cycles/week sliders for cycle-based devices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insulation quality slider (poor / average / good) → UA factor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'Compare gas price scenarios' toggle that reveals Scenario B controls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Scenario B panel: gas CAGR slider (6–20%) and elec CAGR slider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all 6 chart types to support 4-series output (when comparison active)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Add scenario legend (solid = Scenario A, dashed = Scenario B)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summary stat bar to show both scenario results when active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Bdr>
          <w:bottom w:val="single" w:color="1565C0" w:sz="6"/>
        </w:pBdr>
        <w:spacing w:after="140" w:before="32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  Out of Scope — Phase 3 Candidates</w:t>
      </w:r>
    </w:p>
    <w:p>
      <w:pPr>
        <w:spacing w:after="1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following are explicitly deferred. They are noted here to prevent scope creep during Phase 2 execution:</w:t>
      </w:r>
    </w:p>
    <w:p>
      <w:pPr>
        <w:spacing w:after="4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for deferral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CDD/HDD weather file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hourly TMY3 parser; Phase 2 approx is sufficient for advocacy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EnergyPlus EPW file reader + hourly building load simulation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TOU rate structures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time-of-day dispatch model for HVAC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 + heat pump off-peak scheduling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Rebates / incentives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Highly variable by utility, county, year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Rebate database (DSIRE API) + one-time cost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Carbon / emissions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Needs CA grid marginal emissions factor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CAISO API or EPA eGRID marginal factor by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Multi-utility comparison (Option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SCE/SMUD data gathering needed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Utility selector with pre-loaded rate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Financing / loan scenarios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amortisation model + NPV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Loan calculator overlay on CapEx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Solar PV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Changes load profile and net billing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PVWatts API for production; NEM 3.0 billing model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Phase 2 execution begins after Phase 1 feedback is incorporated.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HES Phase 2 Spec  ·  Draft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Home Electrification Simulator  —  Phase 2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80" w:hanging="300"/>
      </w:pPr>
    </w:lvl>
    <w:lvl w:ilvl="1" w15:tentative="1">
      <w:start w:val="1"/>
      <w:numFmt w:val="bullet"/>
      <w:lvlText w:val="–"/>
      <w:lvlJc w:val="left"/>
      <w:pPr>
        <w:spacing w:after="40"/>
        <w:ind w:left="7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kyhondqxhynkzwxitpov" Type="http://schemas.openxmlformats.org/officeDocument/2006/relationships/hyperlink" Target="https://www.energystar.gov/productfinder" TargetMode="External"/><Relationship Id="rId-rcv2x6gctjv_1x6g0aqm" Type="http://schemas.openxmlformats.org/officeDocument/2006/relationships/hyperlink" Target="https://www.eia.gov/consumption/residential/" TargetMode="External"/><Relationship Id="rIdq8qlj64npdfwnudhqydzp" Type="http://schemas.openxmlformats.org/officeDocument/2006/relationships/hyperlink" Target="https://www.aga.org/research/reports/" TargetMode="External"/><Relationship Id="rId-uda0t40shogvfxrzuhbz" Type="http://schemas.openxmlformats.org/officeDocument/2006/relationships/hyperlink" Target="https://www.pge.com/tariffs/" TargetMode="External"/><Relationship Id="rIdxtizzzls3ssfx7l0xxm3h" Type="http://schemas.openxmlformats.org/officeDocument/2006/relationships/hyperlink" Target="https://www.energy.ca.gov/sites/default/files/2021-06/CEC-500-2019-055-F.pd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2026-05-10T04:52:07.814Z</dcterms:created>
  <dcterms:modified xsi:type="dcterms:W3CDTF">2026-05-10T04:52:07.816Z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