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40" w:before="0"/>
        <w:jc w:val="center"/>
      </w:pPr>
      <w:r>
        <w:rPr>
          <w:rFonts w:ascii="Times New Roman" w:hAnsi="Times New Roman"/>
          <w:b w:val="0"/>
          <w:i w:val="0"/>
          <w:color w:val="000000"/>
          <w:sz w:val="32"/>
        </w:rPr>
        <w:t>A PROJECT SYNOPSIS</w:t>
      </w:r>
    </w:p>
    <w:p>
      <w:pPr>
        <w:spacing w:lineRule="auto" w:line="360" w:after="40" w:before="0"/>
        <w:jc w:val="center"/>
      </w:pPr>
      <w:r>
        <w:rPr>
          <w:rFonts w:ascii="Times New Roman" w:hAnsi="Times New Roman"/>
          <w:b w:val="0"/>
          <w:i w:val="0"/>
          <w:color w:val="000000"/>
          <w:sz w:val="24"/>
        </w:rPr>
        <w:t>ON</w:t>
      </w:r>
    </w:p>
    <w:p>
      <w:pPr>
        <w:spacing w:lineRule="auto" w:line="360" w:after="120" w:before="0"/>
        <w:jc w:val="center"/>
      </w:pPr>
      <w:r>
        <w:rPr>
          <w:rFonts w:ascii="Times New Roman" w:hAnsi="Times New Roman"/>
          <w:b w:val="0"/>
          <w:i w:val="0"/>
          <w:color w:val="000000"/>
          <w:sz w:val="36"/>
        </w:rPr>
        <w:t>“ DeployIQ ”</w:t>
      </w:r>
    </w:p>
    <w:p>
      <w:pPr>
        <w:spacing w:lineRule="auto" w:line="360" w:after="120" w:before="0"/>
        <w:jc w:val="center"/>
      </w:pPr>
      <w:r>
        <w:rPr>
          <w:rFonts w:ascii="Times New Roman" w:hAnsi="Times New Roman"/>
          <w:b w:val="0"/>
          <w:i w:val="0"/>
          <w:color w:val="000000"/>
          <w:sz w:val="24"/>
        </w:rPr>
        <w:t>Submitted in partial fulfilment of the requirements for the award of the degree of</w:t>
      </w:r>
    </w:p>
    <w:p>
      <w:pPr>
        <w:spacing w:lineRule="auto" w:line="360" w:after="120" w:before="0"/>
        <w:jc w:val="center"/>
      </w:pPr>
      <w:r>
        <w:rPr>
          <w:rFonts w:ascii="Times New Roman" w:hAnsi="Times New Roman"/>
          <w:b w:val="0"/>
          <w:i w:val="0"/>
          <w:color w:val="000000"/>
          <w:sz w:val="26"/>
        </w:rPr>
        <w:t>BACHELOR OF ENGINEERING IN COMPUTER ENGINEERING</w:t>
      </w:r>
    </w:p>
    <w:p>
      <w:pPr>
        <w:spacing w:lineRule="auto" w:line="360" w:after="120" w:before="0"/>
        <w:jc w:val="center"/>
      </w:pPr>
      <w:r>
        <w:rPr>
          <w:rFonts w:ascii="Times New Roman" w:hAnsi="Times New Roman"/>
          <w:b w:val="0"/>
          <w:i w:val="0"/>
          <w:color w:val="000000"/>
          <w:sz w:val="24"/>
        </w:rPr>
        <w:t>Submitted by</w:t>
      </w:r>
    </w:p>
    <w:p>
      <w:pPr>
        <w:spacing w:lineRule="auto" w:line="360" w:after="20" w:before="0"/>
        <w:jc w:val="center"/>
      </w:pPr>
      <w:r>
        <w:rPr>
          <w:rFonts w:ascii="Times New Roman" w:hAnsi="Times New Roman"/>
          <w:b w:val="0"/>
          <w:i w:val="0"/>
          <w:color w:val="000000"/>
          <w:sz w:val="24"/>
        </w:rPr>
        <w:t>Shravan Mote, 08</w:t>
      </w:r>
    </w:p>
    <w:p>
      <w:pPr>
        <w:spacing w:lineRule="auto" w:line="360" w:after="20" w:before="0"/>
        <w:jc w:val="center"/>
      </w:pPr>
      <w:r>
        <w:rPr>
          <w:rFonts w:ascii="Times New Roman" w:hAnsi="Times New Roman"/>
          <w:b w:val="0"/>
          <w:i w:val="0"/>
          <w:color w:val="000000"/>
          <w:sz w:val="24"/>
        </w:rPr>
        <w:t>Bhushan Gosavi, 37</w:t>
      </w:r>
    </w:p>
    <w:p>
      <w:pPr>
        <w:spacing w:lineRule="auto" w:line="360" w:after="20" w:before="0"/>
        <w:jc w:val="center"/>
      </w:pPr>
      <w:r>
        <w:rPr>
          <w:rFonts w:ascii="Times New Roman" w:hAnsi="Times New Roman"/>
          <w:b w:val="0"/>
          <w:i w:val="0"/>
          <w:color w:val="000000"/>
          <w:sz w:val="24"/>
        </w:rPr>
        <w:t>Vijay Barhate, 05</w:t>
      </w:r>
    </w:p>
    <w:p>
      <w:pPr>
        <w:spacing w:lineRule="auto" w:line="360" w:after="20" w:before="0"/>
        <w:jc w:val="center"/>
      </w:pPr>
      <w:r>
        <w:rPr>
          <w:rFonts w:ascii="Times New Roman" w:hAnsi="Times New Roman"/>
          <w:b w:val="0"/>
          <w:i w:val="0"/>
          <w:color w:val="000000"/>
          <w:sz w:val="24"/>
        </w:rPr>
        <w:t>Sanskar Jadhav, 50</w:t>
      </w:r>
    </w:p>
    <w:p>
      <w:pPr>
        <w:spacing w:lineRule="auto" w:line="360" w:after="120" w:before="0"/>
        <w:jc w:val="center"/>
      </w:pPr>
      <w:r>
        <w:rPr>
          <w:rFonts w:ascii="Times New Roman" w:hAnsi="Times New Roman"/>
          <w:b w:val="0"/>
          <w:i w:val="0"/>
          <w:color w:val="000000"/>
          <w:sz w:val="24"/>
        </w:rPr>
        <w:t>Under the supervision of</w:t>
      </w:r>
    </w:p>
    <w:p>
      <w:pPr>
        <w:spacing w:lineRule="auto" w:line="360" w:after="120" w:before="0"/>
        <w:jc w:val="center"/>
      </w:pPr>
      <w:r>
        <w:rPr>
          <w:rFonts w:ascii="Times New Roman" w:hAnsi="Times New Roman"/>
          <w:b w:val="0"/>
          <w:i w:val="0"/>
          <w:color w:val="000000"/>
          <w:sz w:val="24"/>
        </w:rPr>
        <w:t>Dr. Roohum Jegan</w:t>
      </w:r>
    </w:p>
    <w:p>
      <w:pPr>
        <w:spacing w:lineRule="auto" w:line="360" w:after="120" w:before="0"/>
        <w:jc w:val="center"/>
      </w:pPr>
      <w:r>
        <w:rPr>
          <w:rFonts w:ascii="Times New Roman" w:hAnsi="Times New Roman"/>
          <w:b w:val="0"/>
          <w:i w:val="0"/>
          <w:color w:val="000000"/>
          <w:sz w:val="24"/>
        </w:rPr>
        <w:t>Department of Computer Engineering</w:t>
      </w:r>
    </w:p>
    <w:p>
      <w:pPr>
        <w:spacing w:lineRule="auto" w:line="360" w:after="120" w:before="0"/>
        <w:jc w:val="center"/>
      </w:pPr>
      <w:r>
        <w:rPr>
          <w:rFonts w:ascii="Times New Roman" w:hAnsi="Times New Roman"/>
          <w:b w:val="0"/>
          <w:i w:val="0"/>
          <w:color w:val="000000"/>
          <w:sz w:val="24"/>
        </w:rPr>
        <w:t>Saraswati College of Engineering, Kharghar</w:t>
      </w:r>
    </w:p>
    <w:p>
      <w:pPr>
        <w:spacing w:lineRule="auto" w:line="360" w:after="120" w:before="0"/>
        <w:jc w:val="center"/>
      </w:pPr>
      <w:r>
        <w:rPr>
          <w:rFonts w:ascii="Times New Roman" w:hAnsi="Times New Roman"/>
          <w:b w:val="0"/>
          <w:i w:val="0"/>
          <w:color w:val="000000"/>
          <w:sz w:val="24"/>
        </w:rPr>
        <w:t>(Affiliated to University of Mumbai)</w:t>
      </w:r>
    </w:p>
    <w:p>
      <w:pPr>
        <w:spacing w:lineRule="auto" w:line="360" w:after="120" w:before="0"/>
        <w:jc w:val="center"/>
      </w:pPr>
      <w:r>
        <w:rPr>
          <w:rFonts w:ascii="Times New Roman" w:hAnsi="Times New Roman"/>
          <w:b w:val="0"/>
          <w:i w:val="0"/>
          <w:color w:val="000000"/>
          <w:sz w:val="24"/>
        </w:rPr>
        <w:t>(2026-27)</w:t>
      </w:r>
    </w:p>
    <w:p>
      <w:pPr>
        <w:pStyle w:val="Heading1"/>
        <w:jc w:val="left"/>
      </w:pPr>
      <w:r>
        <w:rPr>
          <w:rFonts w:ascii="Times New Roman" w:hAnsi="Times New Roman"/>
          <w:b/>
          <w:sz w:val="28"/>
        </w:rPr>
        <w:t>Saraswati College of Engineering — Vision and Mission</w:t>
      </w:r>
    </w:p>
    <w:p>
      <w:pPr>
        <w:spacing w:lineRule="auto" w:line="360" w:after="120" w:before="0"/>
        <w:jc w:val="both"/>
      </w:pPr>
      <w:r>
        <w:rPr>
          <w:rFonts w:ascii="Times New Roman" w:hAnsi="Times New Roman"/>
          <w:b w:val="0"/>
          <w:i w:val="0"/>
          <w:color w:val="000000"/>
          <w:sz w:val="24"/>
        </w:rPr>
        <w:t>Vision: To be globally recognized as an autonomous institute in engineering education with an emphasis on academics, research and skill enhancement to create innovators and future leaders for industry and societal needs.</w:t>
      </w:r>
    </w:p>
    <w:p>
      <w:pPr>
        <w:pStyle w:val="ListBullet"/>
        <w:spacing w:lineRule="auto" w:line="360" w:after="60"/>
      </w:pPr>
      <w:r>
        <w:rPr>
          <w:rFonts w:ascii="Times New Roman" w:hAnsi="Times New Roman"/>
          <w:sz w:val="24"/>
        </w:rPr>
        <w:t>Mission 1: To provide theoretical and practical knowledge through quality teaching-learning to develop competent engineers.</w:t>
      </w:r>
    </w:p>
    <w:p>
      <w:pPr>
        <w:pStyle w:val="ListBullet"/>
        <w:spacing w:lineRule="auto" w:line="360" w:after="60"/>
      </w:pPr>
      <w:r>
        <w:rPr>
          <w:rFonts w:ascii="Times New Roman" w:hAnsi="Times New Roman"/>
          <w:sz w:val="24"/>
        </w:rPr>
        <w:t>Mission 2: To create an ambience that facilitates research, entrepreneurship and collaborations leading to innovators and future leaders.</w:t>
      </w:r>
    </w:p>
    <w:p>
      <w:pPr>
        <w:pStyle w:val="ListBullet"/>
        <w:spacing w:lineRule="auto" w:line="360" w:after="60"/>
      </w:pPr>
      <w:r>
        <w:rPr>
          <w:rFonts w:ascii="Times New Roman" w:hAnsi="Times New Roman"/>
          <w:sz w:val="24"/>
        </w:rPr>
        <w:t>Mission 3: To follow a student-centric approach that inculcates moral and ethical values with leadership for holistic development.</w:t>
      </w:r>
    </w:p>
    <w:p>
      <w:pPr>
        <w:pStyle w:val="Heading1"/>
        <w:jc w:val="left"/>
      </w:pPr>
      <w:r>
        <w:rPr>
          <w:rFonts w:ascii="Times New Roman" w:hAnsi="Times New Roman"/>
          <w:b/>
          <w:sz w:val="28"/>
        </w:rPr>
        <w:t>Department of Computer Engineering — Vision and Mission</w:t>
      </w:r>
    </w:p>
    <w:p>
      <w:pPr>
        <w:spacing w:lineRule="auto" w:line="360" w:after="120" w:before="0"/>
        <w:jc w:val="both"/>
      </w:pPr>
      <w:r>
        <w:rPr>
          <w:rFonts w:ascii="Times New Roman" w:hAnsi="Times New Roman"/>
          <w:b w:val="0"/>
          <w:i w:val="0"/>
          <w:color w:val="000000"/>
          <w:sz w:val="24"/>
        </w:rPr>
        <w:t>Vision: To become a globally competent graduate program and one of the leading institutions in computer engineering education and research.</w:t>
      </w:r>
    </w:p>
    <w:p>
      <w:pPr>
        <w:pStyle w:val="ListBullet"/>
        <w:spacing w:lineRule="auto" w:line="360" w:after="60"/>
      </w:pPr>
      <w:r>
        <w:rPr>
          <w:rFonts w:ascii="Times New Roman" w:hAnsi="Times New Roman"/>
          <w:sz w:val="24"/>
        </w:rPr>
        <w:t>Mission 1: To offer outstanding education with hands-on programming to meet industry and societal demands.</w:t>
      </w:r>
    </w:p>
    <w:p>
      <w:pPr>
        <w:pStyle w:val="ListBullet"/>
        <w:spacing w:lineRule="auto" w:line="360" w:after="60"/>
      </w:pPr>
      <w:r>
        <w:rPr>
          <w:rFonts w:ascii="Times New Roman" w:hAnsi="Times New Roman"/>
          <w:sz w:val="24"/>
        </w:rPr>
        <w:t>Mission 2: To motivate research, innovation and entrepreneurship in computer engineering and allied fields.</w:t>
      </w:r>
    </w:p>
    <w:p>
      <w:pPr>
        <w:pStyle w:val="ListBullet"/>
        <w:spacing w:lineRule="auto" w:line="360" w:after="60"/>
      </w:pPr>
      <w:r>
        <w:rPr>
          <w:rFonts w:ascii="Times New Roman" w:hAnsi="Times New Roman"/>
          <w:sz w:val="24"/>
        </w:rPr>
        <w:t>Mission 3: To provide an engaging learning environment that fosters creative thinking, problem-solving, team spirit and ethical conduct.</w:t>
      </w:r>
    </w:p>
    <w:p>
      <w:pPr>
        <w:pStyle w:val="Heading1"/>
        <w:jc w:val="left"/>
      </w:pPr>
      <w:r>
        <w:rPr>
          <w:rFonts w:ascii="Times New Roman" w:hAnsi="Times New Roman"/>
          <w:b/>
          <w:sz w:val="28"/>
        </w:rPr>
        <w:t>Programme Outcomes (PO1–PO12)</w:t>
      </w:r>
    </w:p>
    <w:p>
      <w:pPr>
        <w:pStyle w:val="ListBullet"/>
        <w:spacing w:lineRule="auto" w:line="360" w:after="60"/>
      </w:pPr>
      <w:r>
        <w:rPr>
          <w:rFonts w:ascii="Times New Roman" w:hAnsi="Times New Roman"/>
          <w:sz w:val="24"/>
        </w:rPr>
        <w:t>PO 1: Engineering knowledge — apply mathematics, science and engineering fundamentals to complex problems.</w:t>
      </w:r>
    </w:p>
    <w:p>
      <w:pPr>
        <w:pStyle w:val="ListBullet"/>
        <w:spacing w:lineRule="auto" w:line="360" w:after="60"/>
      </w:pPr>
      <w:r>
        <w:rPr>
          <w:rFonts w:ascii="Times New Roman" w:hAnsi="Times New Roman"/>
          <w:sz w:val="24"/>
        </w:rPr>
        <w:t>PO 2: Problem analysis — identify, formulate and analyse complex engineering problems from literature.</w:t>
      </w:r>
    </w:p>
    <w:p>
      <w:pPr>
        <w:pStyle w:val="ListBullet"/>
        <w:spacing w:lineRule="auto" w:line="360" w:after="60"/>
      </w:pPr>
      <w:r>
        <w:rPr>
          <w:rFonts w:ascii="Times New Roman" w:hAnsi="Times New Roman"/>
          <w:sz w:val="24"/>
        </w:rPr>
        <w:t>PO 3: Design/development of solutions — design systems meeting needs with regard to safety, sustainability and ethics.</w:t>
      </w:r>
    </w:p>
    <w:p>
      <w:pPr>
        <w:pStyle w:val="ListBullet"/>
        <w:spacing w:lineRule="auto" w:line="360" w:after="60"/>
      </w:pPr>
      <w:r>
        <w:rPr>
          <w:rFonts w:ascii="Times New Roman" w:hAnsi="Times New Roman"/>
          <w:sz w:val="24"/>
        </w:rPr>
        <w:t>PO 4: Conduct investigations of complex problems — design experiments, analyse data, draw valid conclusions.</w:t>
      </w:r>
    </w:p>
    <w:p>
      <w:pPr>
        <w:pStyle w:val="ListBullet"/>
        <w:spacing w:lineRule="auto" w:line="360" w:after="60"/>
      </w:pPr>
      <w:r>
        <w:rPr>
          <w:rFonts w:ascii="Times New Roman" w:hAnsi="Times New Roman"/>
          <w:sz w:val="24"/>
        </w:rPr>
        <w:t>PO 5: Modern tool usage — select and apply appropriate techniques and IT tools for engineering practice.</w:t>
      </w:r>
    </w:p>
    <w:p>
      <w:pPr>
        <w:pStyle w:val="ListBullet"/>
        <w:spacing w:lineRule="auto" w:line="360" w:after="60"/>
      </w:pPr>
      <w:r>
        <w:rPr>
          <w:rFonts w:ascii="Times New Roman" w:hAnsi="Times New Roman"/>
          <w:sz w:val="24"/>
        </w:rPr>
        <w:t>PO 6: Engineer and society — assess societal, health, safety, legal and cultural impacts of solutions.</w:t>
      </w:r>
    </w:p>
    <w:p>
      <w:pPr>
        <w:pStyle w:val="ListBullet"/>
        <w:spacing w:lineRule="auto" w:line="360" w:after="60"/>
      </w:pPr>
      <w:r>
        <w:rPr>
          <w:rFonts w:ascii="Times New Roman" w:hAnsi="Times New Roman"/>
          <w:sz w:val="24"/>
        </w:rPr>
        <w:t>PO 7: Ethics — apply ethical principles and professional responsibilities.</w:t>
      </w:r>
    </w:p>
    <w:p>
      <w:pPr>
        <w:pStyle w:val="ListBullet"/>
        <w:spacing w:lineRule="auto" w:line="360" w:after="60"/>
      </w:pPr>
      <w:r>
        <w:rPr>
          <w:rFonts w:ascii="Times New Roman" w:hAnsi="Times New Roman"/>
          <w:sz w:val="24"/>
        </w:rPr>
        <w:t>PO 8: Individual and team work — function effectively as an individual and in multidisciplinary teams.</w:t>
      </w:r>
    </w:p>
    <w:p>
      <w:pPr>
        <w:pStyle w:val="ListBullet"/>
        <w:spacing w:lineRule="auto" w:line="360" w:after="60"/>
      </w:pPr>
      <w:r>
        <w:rPr>
          <w:rFonts w:ascii="Times New Roman" w:hAnsi="Times New Roman"/>
          <w:sz w:val="24"/>
        </w:rPr>
        <w:t>PO 9: Communication — communicate effectively through reports, presentations and documentation.</w:t>
      </w:r>
    </w:p>
    <w:p>
      <w:pPr>
        <w:pStyle w:val="ListBullet"/>
        <w:spacing w:lineRule="auto" w:line="360" w:after="60"/>
      </w:pPr>
      <w:r>
        <w:rPr>
          <w:rFonts w:ascii="Times New Roman" w:hAnsi="Times New Roman"/>
          <w:sz w:val="24"/>
        </w:rPr>
        <w:t>PO 10: Project management and finance — apply management principles to project work.</w:t>
      </w:r>
    </w:p>
    <w:p>
      <w:pPr>
        <w:pStyle w:val="ListBullet"/>
        <w:spacing w:lineRule="auto" w:line="360" w:after="60"/>
      </w:pPr>
      <w:r>
        <w:rPr>
          <w:rFonts w:ascii="Times New Roman" w:hAnsi="Times New Roman"/>
          <w:sz w:val="24"/>
        </w:rPr>
        <w:t>PO 11: Life-long learning — engage in independent, life-long learning in evolving technologies.</w:t>
      </w:r>
    </w:p>
    <w:p>
      <w:pPr>
        <w:spacing w:lineRule="auto" w:line="360" w:after="120" w:before="0"/>
        <w:jc w:val="both"/>
      </w:pPr>
      <w:r>
        <w:rPr>
          <w:rFonts w:ascii="Times New Roman" w:hAnsi="Times New Roman"/>
          <w:b w:val="0"/>
          <w:i w:val="0"/>
          <w:color w:val="000000"/>
          <w:sz w:val="24"/>
        </w:rPr>
        <w:t>Knowledge and Attitude Profile (WK): WK1–WK4 cover mathematics, natural science, computing and engineering fundamentals; WK5–WK9 cover design, practice, society, ethics and project management. DeployIQ maps evidence-grounded RCA (WK3–WK4), tool usage (WK5–WK6) and validation (WK8) to these profiles.</w:t>
      </w:r>
    </w:p>
    <w:p>
      <w:pPr>
        <w:pStyle w:val="Heading1"/>
        <w:jc w:val="left"/>
      </w:pPr>
      <w:r>
        <w:rPr>
          <w:rFonts w:ascii="Times New Roman" w:hAnsi="Times New Roman"/>
          <w:b/>
          <w:sz w:val="28"/>
        </w:rPr>
        <w:t>Programme Specific Outcomes</w:t>
      </w:r>
    </w:p>
    <w:p>
      <w:pPr>
        <w:pStyle w:val="ListBullet"/>
        <w:spacing w:lineRule="auto" w:line="360" w:after="60"/>
      </w:pPr>
      <w:r>
        <w:rPr>
          <w:rFonts w:ascii="Times New Roman" w:hAnsi="Times New Roman"/>
          <w:sz w:val="24"/>
        </w:rPr>
        <w:t>PSO 1: Build production-grade full-stack systems with databases, APIs and automated testing.</w:t>
      </w:r>
    </w:p>
    <w:p>
      <w:pPr>
        <w:pStyle w:val="ListBullet"/>
        <w:spacing w:lineRule="auto" w:line="360" w:after="60"/>
      </w:pPr>
      <w:r>
        <w:rPr>
          <w:rFonts w:ascii="Times New Roman" w:hAnsi="Times New Roman"/>
          <w:sz w:val="24"/>
        </w:rPr>
        <w:t>PSO 2: Apply AI/ML and retrieval techniques to domain problems with measurable evaluation.</w:t>
      </w:r>
    </w:p>
    <w:p>
      <w:pPr>
        <w:pStyle w:val="Heading1"/>
        <w:jc w:val="left"/>
      </w:pPr>
      <w:r>
        <w:rPr>
          <w:rFonts w:ascii="Times New Roman" w:hAnsi="Times New Roman"/>
          <w:b/>
          <w:sz w:val="28"/>
        </w:rPr>
        <w:t>Certificate</w:t>
      </w:r>
    </w:p>
    <w:p>
      <w:pPr>
        <w:spacing w:lineRule="auto" w:line="360" w:after="120" w:before="0"/>
        <w:jc w:val="center"/>
      </w:pPr>
      <w:r>
        <w:rPr>
          <w:rFonts w:ascii="Times New Roman" w:hAnsi="Times New Roman"/>
          <w:b w:val="0"/>
          <w:i/>
          <w:color w:val="000000"/>
          <w:sz w:val="20"/>
        </w:rPr>
        <w:t>[College Logo — left]                                          [Saraswati Logo — placed mid-right as per template]</w:t>
      </w:r>
    </w:p>
    <w:p>
      <w:pPr>
        <w:spacing w:lineRule="auto" w:line="360" w:after="120" w:before="0"/>
        <w:jc w:val="both"/>
      </w:pPr>
      <w:r>
        <w:rPr>
          <w:rFonts w:ascii="Times New Roman" w:hAnsi="Times New Roman"/>
          <w:b w:val="0"/>
          <w:i w:val="0"/>
          <w:color w:val="000000"/>
          <w:sz w:val="24"/>
        </w:rPr>
        <w:t>This is to certify that the requirements for the synopsis report entitled “DeployIQ” have been successfully completed by the following students:</w:t>
      </w:r>
    </w:p>
    <w:p>
      <w:pPr>
        <w:spacing w:lineRule="auto" w:line="360" w:after="20" w:before="0"/>
        <w:jc w:val="both"/>
      </w:pPr>
      <w:r>
        <w:rPr>
          <w:rFonts w:ascii="Times New Roman" w:hAnsi="Times New Roman"/>
          <w:b w:val="0"/>
          <w:i w:val="0"/>
          <w:color w:val="000000"/>
          <w:sz w:val="24"/>
        </w:rPr>
        <w:t>08</w:t>
        <w:tab/>
        <w:t>Shravan Mote</w:t>
      </w:r>
    </w:p>
    <w:p>
      <w:pPr>
        <w:spacing w:lineRule="auto" w:line="360" w:after="20" w:before="0"/>
        <w:jc w:val="both"/>
      </w:pPr>
      <w:r>
        <w:rPr>
          <w:rFonts w:ascii="Times New Roman" w:hAnsi="Times New Roman"/>
          <w:b w:val="0"/>
          <w:i w:val="0"/>
          <w:color w:val="000000"/>
          <w:sz w:val="24"/>
        </w:rPr>
        <w:t>37</w:t>
        <w:tab/>
        <w:t>Bhushan Gosavi</w:t>
      </w:r>
    </w:p>
    <w:p>
      <w:pPr>
        <w:spacing w:lineRule="auto" w:line="360" w:after="20" w:before="0"/>
        <w:jc w:val="both"/>
      </w:pPr>
      <w:r>
        <w:rPr>
          <w:rFonts w:ascii="Times New Roman" w:hAnsi="Times New Roman"/>
          <w:b w:val="0"/>
          <w:i w:val="0"/>
          <w:color w:val="000000"/>
          <w:sz w:val="24"/>
        </w:rPr>
        <w:t>05</w:t>
        <w:tab/>
        <w:t>Vijay Barhate</w:t>
      </w:r>
    </w:p>
    <w:p>
      <w:pPr>
        <w:spacing w:lineRule="auto" w:line="360" w:after="20" w:before="0"/>
        <w:jc w:val="both"/>
      </w:pPr>
      <w:r>
        <w:rPr>
          <w:rFonts w:ascii="Times New Roman" w:hAnsi="Times New Roman"/>
          <w:b w:val="0"/>
          <w:i w:val="0"/>
          <w:color w:val="000000"/>
          <w:sz w:val="24"/>
        </w:rPr>
        <w:t>50</w:t>
        <w:tab/>
        <w:t>Sanskar Jadhav</w:t>
      </w:r>
    </w:p>
    <w:p>
      <w:pPr>
        <w:spacing w:lineRule="auto" w:line="360" w:after="120" w:before="0"/>
        <w:jc w:val="both"/>
      </w:pPr>
      <w:r>
        <w:rPr>
          <w:rFonts w:ascii="Times New Roman" w:hAnsi="Times New Roman"/>
          <w:b w:val="0"/>
          <w:i w:val="0"/>
          <w:color w:val="000000"/>
          <w:sz w:val="24"/>
        </w:rPr>
        <w:t>Sanskar Jadhav, 50</w:t>
      </w:r>
    </w:p>
    <w:p>
      <w:pPr>
        <w:spacing w:lineRule="auto" w:line="360" w:after="120" w:before="0"/>
        <w:jc w:val="both"/>
      </w:pPr>
      <w:r>
        <w:rPr>
          <w:rFonts w:ascii="Times New Roman" w:hAnsi="Times New Roman"/>
          <w:b w:val="0"/>
          <w:i w:val="0"/>
          <w:color w:val="000000"/>
          <w:sz w:val="24"/>
        </w:rPr>
        <w:t>In partial fulfilment of Sem-VII, Bachelor of Engineering in Computer Engineering of Saraswati College of Engineering, Kharghar during the academic year 2026-27.</w:t>
      </w:r>
    </w:p>
    <w:p>
      <w:pPr>
        <w:spacing w:lineRule="auto" w:line="360" w:after="20" w:before="0"/>
        <w:jc w:val="right"/>
      </w:pPr>
      <w:r>
        <w:rPr>
          <w:rFonts w:ascii="Times New Roman" w:hAnsi="Times New Roman"/>
          <w:b w:val="0"/>
          <w:i w:val="0"/>
          <w:color w:val="000000"/>
          <w:sz w:val="24"/>
        </w:rPr>
        <w:t>Project Guide: Dr. Roohum Jegan</w:t>
      </w:r>
    </w:p>
    <w:p>
      <w:pPr>
        <w:spacing w:lineRule="auto" w:line="360" w:after="20" w:before="0"/>
        <w:jc w:val="right"/>
      </w:pPr>
      <w:r>
        <w:rPr>
          <w:rFonts w:ascii="Times New Roman" w:hAnsi="Times New Roman"/>
          <w:b w:val="0"/>
          <w:i w:val="0"/>
          <w:color w:val="000000"/>
          <w:sz w:val="24"/>
        </w:rPr>
        <w:t>Head of Department: Dr. Sujata Bhairnallykar</w:t>
      </w:r>
    </w:p>
    <w:p>
      <w:pPr>
        <w:spacing w:lineRule="auto" w:line="360" w:after="20" w:before="0"/>
        <w:jc w:val="right"/>
      </w:pPr>
      <w:r>
        <w:rPr>
          <w:rFonts w:ascii="Times New Roman" w:hAnsi="Times New Roman"/>
          <w:b w:val="0"/>
          <w:i w:val="0"/>
          <w:color w:val="000000"/>
          <w:sz w:val="24"/>
        </w:rPr>
        <w:t>Principal: Dr. Manjusha Deshmukh</w:t>
      </w:r>
    </w:p>
    <w:p>
      <w:pPr>
        <w:pStyle w:val="Heading1"/>
        <w:jc w:val="left"/>
      </w:pPr>
      <w:r>
        <w:rPr>
          <w:rFonts w:ascii="Times New Roman" w:hAnsi="Times New Roman"/>
          <w:b/>
          <w:sz w:val="28"/>
        </w:rPr>
        <w:t>Project Report Approval Sheet</w:t>
      </w:r>
    </w:p>
    <w:p>
      <w:pPr>
        <w:spacing w:lineRule="auto" w:line="360" w:after="120" w:before="0"/>
        <w:jc w:val="both"/>
      </w:pPr>
      <w:r>
        <w:rPr>
          <w:rFonts w:ascii="Times New Roman" w:hAnsi="Times New Roman"/>
          <w:b w:val="0"/>
          <w:i w:val="0"/>
          <w:color w:val="000000"/>
          <w:sz w:val="24"/>
        </w:rPr>
        <w:t>Examiners: 1. ____________________  2. ____________________</w:t>
      </w:r>
    </w:p>
    <w:p>
      <w:pPr>
        <w:spacing w:lineRule="auto" w:line="360" w:after="120" w:before="0"/>
        <w:jc w:val="both"/>
      </w:pPr>
      <w:r>
        <w:rPr>
          <w:rFonts w:ascii="Times New Roman" w:hAnsi="Times New Roman"/>
          <w:b w:val="0"/>
          <w:i w:val="0"/>
          <w:color w:val="000000"/>
          <w:sz w:val="24"/>
        </w:rPr>
        <w:t>Place: Kharghar    Date: ____ / ____ / 2026-27</w:t>
      </w:r>
    </w:p>
    <w:p>
      <w:pPr>
        <w:pStyle w:val="Heading1"/>
        <w:jc w:val="left"/>
      </w:pPr>
      <w:r>
        <w:rPr>
          <w:rFonts w:ascii="Times New Roman" w:hAnsi="Times New Roman"/>
          <w:b/>
          <w:sz w:val="28"/>
        </w:rPr>
        <w:t>Declaration</w:t>
      </w:r>
    </w:p>
    <w:p>
      <w:pPr>
        <w:spacing w:lineRule="auto" w:line="360" w:after="120" w:before="0"/>
        <w:jc w:val="both"/>
      </w:pPr>
      <w:r>
        <w:rPr>
          <w:rFonts w:ascii="Times New Roman" w:hAnsi="Times New Roman"/>
          <w:b w:val="0"/>
          <w:i w:val="0"/>
          <w:color w:val="000000"/>
          <w:sz w:val="24"/>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 not misrepresented, fabricated or falsified any idea, data, fact or 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p>
      <w:pPr>
        <w:spacing w:lineRule="auto" w:line="360" w:after="20" w:before="0"/>
        <w:jc w:val="both"/>
      </w:pPr>
      <w:r>
        <w:rPr>
          <w:rFonts w:ascii="Times New Roman" w:hAnsi="Times New Roman"/>
          <w:b w:val="0"/>
          <w:i w:val="0"/>
          <w:color w:val="000000"/>
          <w:sz w:val="24"/>
        </w:rPr>
        <w:t>(Shravan Mote, 08 — Signature: ___________)</w:t>
      </w:r>
    </w:p>
    <w:p>
      <w:pPr>
        <w:spacing w:lineRule="auto" w:line="360" w:after="20" w:before="0"/>
        <w:jc w:val="both"/>
      </w:pPr>
      <w:r>
        <w:rPr>
          <w:rFonts w:ascii="Times New Roman" w:hAnsi="Times New Roman"/>
          <w:b w:val="0"/>
          <w:i w:val="0"/>
          <w:color w:val="000000"/>
          <w:sz w:val="24"/>
        </w:rPr>
        <w:t>(Bhushan Gosavi, 37 — Signature: ___________)</w:t>
      </w:r>
    </w:p>
    <w:p>
      <w:pPr>
        <w:spacing w:lineRule="auto" w:line="360" w:after="20" w:before="0"/>
        <w:jc w:val="both"/>
      </w:pPr>
      <w:r>
        <w:rPr>
          <w:rFonts w:ascii="Times New Roman" w:hAnsi="Times New Roman"/>
          <w:b w:val="0"/>
          <w:i w:val="0"/>
          <w:color w:val="000000"/>
          <w:sz w:val="24"/>
        </w:rPr>
        <w:t>(Vijay Barhate, 05 — Signature: ___________)</w:t>
      </w:r>
    </w:p>
    <w:p>
      <w:pPr>
        <w:spacing w:lineRule="auto" w:line="360" w:after="20" w:before="0"/>
        <w:jc w:val="both"/>
      </w:pPr>
      <w:r>
        <w:rPr>
          <w:rFonts w:ascii="Times New Roman" w:hAnsi="Times New Roman"/>
          <w:b w:val="0"/>
          <w:i w:val="0"/>
          <w:color w:val="000000"/>
          <w:sz w:val="24"/>
        </w:rPr>
        <w:t>(Sanskar Jadhav, 50 — Signature: ___________)</w:t>
      </w:r>
    </w:p>
    <w:p>
      <w:pPr>
        <w:pStyle w:val="Heading1"/>
        <w:jc w:val="left"/>
      </w:pPr>
      <w:r>
        <w:rPr>
          <w:rFonts w:ascii="Times New Roman" w:hAnsi="Times New Roman"/>
          <w:b/>
          <w:sz w:val="28"/>
        </w:rPr>
        <w:t>List of Abbreviations</w:t>
      </w:r>
    </w:p>
    <w:p>
      <w:pPr>
        <w:spacing w:lineRule="auto" w:line="360" w:after="120" w:before="0"/>
        <w:jc w:val="both"/>
      </w:pPr>
      <w:r>
        <w:rPr>
          <w:rFonts w:ascii="Times New Roman" w:hAnsi="Times New Roman"/>
          <w:b w:val="0"/>
          <w:i/>
          <w:color w:val="000000"/>
          <w:sz w:val="24"/>
        </w:rPr>
        <w:t>Only abbreviations actually used in this synopsis are listed.</w:t>
      </w:r>
    </w:p>
    <w:tbl>
      <w:tblPr>
        <w:tblStyle w:val="TableGrid"/>
        <w:tblW w:type="auto" w:w="0"/>
        <w:jc w:val="center"/>
        <w:tblLook w:firstColumn="1" w:firstRow="1" w:lastColumn="0" w:lastRow="0" w:noHBand="0" w:noVBand="1" w:val="04A0"/>
      </w:tblPr>
      <w:tblGrid>
        <w:gridCol w:w="4500"/>
        <w:gridCol w:w="4500"/>
      </w:tblGrid>
      <w:tr>
        <w:tc>
          <w:tcPr>
            <w:tcW w:type="dxa" w:w="4500"/>
          </w:tcPr>
          <w:p>
            <w:r/>
            <w:r>
              <w:rPr>
                <w:rFonts w:ascii="Times New Roman" w:hAnsi="Times New Roman"/>
                <w:b/>
                <w:sz w:val="24"/>
              </w:rPr>
              <w:t>Abbreviation</w:t>
            </w:r>
          </w:p>
        </w:tc>
        <w:tc>
          <w:tcPr>
            <w:tcW w:type="dxa" w:w="4500"/>
          </w:tcPr>
          <w:p>
            <w:r/>
            <w:r>
              <w:rPr>
                <w:rFonts w:ascii="Times New Roman" w:hAnsi="Times New Roman"/>
                <w:b/>
                <w:sz w:val="24"/>
              </w:rPr>
              <w:t>Meaning</w:t>
            </w:r>
          </w:p>
        </w:tc>
      </w:tr>
      <w:tr>
        <w:tc>
          <w:tcPr>
            <w:tcW w:type="dxa" w:w="4500"/>
          </w:tcPr>
          <w:p>
            <w:r/>
            <w:r>
              <w:rPr>
                <w:rFonts w:ascii="Times New Roman" w:hAnsi="Times New Roman"/>
                <w:sz w:val="24"/>
              </w:rPr>
              <w:t>AI</w:t>
            </w:r>
          </w:p>
        </w:tc>
        <w:tc>
          <w:tcPr>
            <w:tcW w:type="dxa" w:w="4500"/>
          </w:tcPr>
          <w:p>
            <w:r/>
            <w:r>
              <w:rPr>
                <w:rFonts w:ascii="Times New Roman" w:hAnsi="Times New Roman"/>
                <w:sz w:val="24"/>
              </w:rPr>
              <w:t>Artificial Intelligence</w:t>
            </w:r>
          </w:p>
        </w:tc>
      </w:tr>
      <w:tr>
        <w:tc>
          <w:tcPr>
            <w:tcW w:type="dxa" w:w="4500"/>
          </w:tcPr>
          <w:p>
            <w:r/>
            <w:r>
              <w:rPr>
                <w:rFonts w:ascii="Times New Roman" w:hAnsi="Times New Roman"/>
                <w:sz w:val="24"/>
              </w:rPr>
              <w:t>API</w:t>
            </w:r>
          </w:p>
        </w:tc>
        <w:tc>
          <w:tcPr>
            <w:tcW w:type="dxa" w:w="4500"/>
          </w:tcPr>
          <w:p>
            <w:r/>
            <w:r>
              <w:rPr>
                <w:rFonts w:ascii="Times New Roman" w:hAnsi="Times New Roman"/>
                <w:sz w:val="24"/>
              </w:rPr>
              <w:t>Application Programming Interface</w:t>
            </w:r>
          </w:p>
        </w:tc>
      </w:tr>
      <w:tr>
        <w:tc>
          <w:tcPr>
            <w:tcW w:type="dxa" w:w="4500"/>
          </w:tcPr>
          <w:p>
            <w:r/>
            <w:r>
              <w:rPr>
                <w:rFonts w:ascii="Times New Roman" w:hAnsi="Times New Roman"/>
                <w:sz w:val="24"/>
              </w:rPr>
              <w:t>BM25</w:t>
            </w:r>
          </w:p>
        </w:tc>
        <w:tc>
          <w:tcPr>
            <w:tcW w:type="dxa" w:w="4500"/>
          </w:tcPr>
          <w:p>
            <w:r/>
            <w:r>
              <w:rPr>
                <w:rFonts w:ascii="Times New Roman" w:hAnsi="Times New Roman"/>
                <w:sz w:val="24"/>
              </w:rPr>
              <w:t>Best Matching 25 (ranking function)</w:t>
            </w:r>
          </w:p>
        </w:tc>
      </w:tr>
      <w:tr>
        <w:tc>
          <w:tcPr>
            <w:tcW w:type="dxa" w:w="4500"/>
          </w:tcPr>
          <w:p>
            <w:r/>
            <w:r>
              <w:rPr>
                <w:rFonts w:ascii="Times New Roman" w:hAnsi="Times New Roman"/>
                <w:sz w:val="24"/>
              </w:rPr>
              <w:t>CI/CD</w:t>
            </w:r>
          </w:p>
        </w:tc>
        <w:tc>
          <w:tcPr>
            <w:tcW w:type="dxa" w:w="4500"/>
          </w:tcPr>
          <w:p>
            <w:r/>
            <w:r>
              <w:rPr>
                <w:rFonts w:ascii="Times New Roman" w:hAnsi="Times New Roman"/>
                <w:sz w:val="24"/>
              </w:rPr>
              <w:t>Continuous Integration / Continuous Delivery</w:t>
            </w:r>
          </w:p>
        </w:tc>
      </w:tr>
      <w:tr>
        <w:tc>
          <w:tcPr>
            <w:tcW w:type="dxa" w:w="4500"/>
          </w:tcPr>
          <w:p>
            <w:r/>
            <w:r>
              <w:rPr>
                <w:rFonts w:ascii="Times New Roman" w:hAnsi="Times New Roman"/>
                <w:sz w:val="24"/>
              </w:rPr>
              <w:t>DB</w:t>
            </w:r>
          </w:p>
        </w:tc>
        <w:tc>
          <w:tcPr>
            <w:tcW w:type="dxa" w:w="4500"/>
          </w:tcPr>
          <w:p>
            <w:r/>
            <w:r>
              <w:rPr>
                <w:rFonts w:ascii="Times New Roman" w:hAnsi="Times New Roman"/>
                <w:sz w:val="24"/>
              </w:rPr>
              <w:t>Database</w:t>
            </w:r>
          </w:p>
        </w:tc>
      </w:tr>
      <w:tr>
        <w:tc>
          <w:tcPr>
            <w:tcW w:type="dxa" w:w="4500"/>
          </w:tcPr>
          <w:p>
            <w:r/>
            <w:r>
              <w:rPr>
                <w:rFonts w:ascii="Times New Roman" w:hAnsi="Times New Roman"/>
                <w:sz w:val="24"/>
              </w:rPr>
              <w:t>ER</w:t>
            </w:r>
          </w:p>
        </w:tc>
        <w:tc>
          <w:tcPr>
            <w:tcW w:type="dxa" w:w="4500"/>
          </w:tcPr>
          <w:p>
            <w:r/>
            <w:r>
              <w:rPr>
                <w:rFonts w:ascii="Times New Roman" w:hAnsi="Times New Roman"/>
                <w:sz w:val="24"/>
              </w:rPr>
              <w:t>Entity Relationship</w:t>
            </w:r>
          </w:p>
        </w:tc>
      </w:tr>
      <w:tr>
        <w:tc>
          <w:tcPr>
            <w:tcW w:type="dxa" w:w="4500"/>
          </w:tcPr>
          <w:p>
            <w:r/>
            <w:r>
              <w:rPr>
                <w:rFonts w:ascii="Times New Roman" w:hAnsi="Times New Roman"/>
                <w:sz w:val="24"/>
              </w:rPr>
              <w:t>LLM</w:t>
            </w:r>
          </w:p>
        </w:tc>
        <w:tc>
          <w:tcPr>
            <w:tcW w:type="dxa" w:w="4500"/>
          </w:tcPr>
          <w:p>
            <w:r/>
            <w:r>
              <w:rPr>
                <w:rFonts w:ascii="Times New Roman" w:hAnsi="Times New Roman"/>
                <w:sz w:val="24"/>
              </w:rPr>
              <w:t>Large Language Model</w:t>
            </w:r>
          </w:p>
        </w:tc>
      </w:tr>
      <w:tr>
        <w:tc>
          <w:tcPr>
            <w:tcW w:type="dxa" w:w="4500"/>
          </w:tcPr>
          <w:p>
            <w:r/>
            <w:r>
              <w:rPr>
                <w:rFonts w:ascii="Times New Roman" w:hAnsi="Times New Roman"/>
                <w:sz w:val="24"/>
              </w:rPr>
              <w:t>NLP</w:t>
            </w:r>
          </w:p>
        </w:tc>
        <w:tc>
          <w:tcPr>
            <w:tcW w:type="dxa" w:w="4500"/>
          </w:tcPr>
          <w:p>
            <w:r/>
            <w:r>
              <w:rPr>
                <w:rFonts w:ascii="Times New Roman" w:hAnsi="Times New Roman"/>
                <w:sz w:val="24"/>
              </w:rPr>
              <w:t>Natural Language Processing</w:t>
            </w:r>
          </w:p>
        </w:tc>
      </w:tr>
      <w:tr>
        <w:tc>
          <w:tcPr>
            <w:tcW w:type="dxa" w:w="4500"/>
          </w:tcPr>
          <w:p>
            <w:r/>
            <w:r>
              <w:rPr>
                <w:rFonts w:ascii="Times New Roman" w:hAnsi="Times New Roman"/>
                <w:sz w:val="24"/>
              </w:rPr>
              <w:t>RAG</w:t>
            </w:r>
          </w:p>
        </w:tc>
        <w:tc>
          <w:tcPr>
            <w:tcW w:type="dxa" w:w="4500"/>
          </w:tcPr>
          <w:p>
            <w:r/>
            <w:r>
              <w:rPr>
                <w:rFonts w:ascii="Times New Roman" w:hAnsi="Times New Roman"/>
                <w:sz w:val="24"/>
              </w:rPr>
              <w:t>Retrieval-Augmented Generation</w:t>
            </w:r>
          </w:p>
        </w:tc>
      </w:tr>
      <w:tr>
        <w:tc>
          <w:tcPr>
            <w:tcW w:type="dxa" w:w="4500"/>
          </w:tcPr>
          <w:p>
            <w:r/>
            <w:r>
              <w:rPr>
                <w:rFonts w:ascii="Times New Roman" w:hAnsi="Times New Roman"/>
                <w:sz w:val="24"/>
              </w:rPr>
              <w:t>RCA</w:t>
            </w:r>
          </w:p>
        </w:tc>
        <w:tc>
          <w:tcPr>
            <w:tcW w:type="dxa" w:w="4500"/>
          </w:tcPr>
          <w:p>
            <w:r/>
            <w:r>
              <w:rPr>
                <w:rFonts w:ascii="Times New Roman" w:hAnsi="Times New Roman"/>
                <w:sz w:val="24"/>
              </w:rPr>
              <w:t>Root Cause Analysis</w:t>
            </w:r>
          </w:p>
        </w:tc>
      </w:tr>
      <w:tr>
        <w:tc>
          <w:tcPr>
            <w:tcW w:type="dxa" w:w="4500"/>
          </w:tcPr>
          <w:p>
            <w:r/>
            <w:r>
              <w:rPr>
                <w:rFonts w:ascii="Times New Roman" w:hAnsi="Times New Roman"/>
                <w:sz w:val="24"/>
              </w:rPr>
              <w:t>REST</w:t>
            </w:r>
          </w:p>
        </w:tc>
        <w:tc>
          <w:tcPr>
            <w:tcW w:type="dxa" w:w="4500"/>
          </w:tcPr>
          <w:p>
            <w:r/>
            <w:r>
              <w:rPr>
                <w:rFonts w:ascii="Times New Roman" w:hAnsi="Times New Roman"/>
                <w:sz w:val="24"/>
              </w:rPr>
              <w:t>Representational State Transfer</w:t>
            </w:r>
          </w:p>
        </w:tc>
      </w:tr>
      <w:tr>
        <w:tc>
          <w:tcPr>
            <w:tcW w:type="dxa" w:w="4500"/>
          </w:tcPr>
          <w:p>
            <w:r/>
            <w:r>
              <w:rPr>
                <w:rFonts w:ascii="Times New Roman" w:hAnsi="Times New Roman"/>
                <w:sz w:val="24"/>
              </w:rPr>
              <w:t>UI</w:t>
            </w:r>
          </w:p>
        </w:tc>
        <w:tc>
          <w:tcPr>
            <w:tcW w:type="dxa" w:w="4500"/>
          </w:tcPr>
          <w:p>
            <w:r/>
            <w:r>
              <w:rPr>
                <w:rFonts w:ascii="Times New Roman" w:hAnsi="Times New Roman"/>
                <w:sz w:val="24"/>
              </w:rPr>
              <w:t>User Interface</w:t>
            </w:r>
          </w:p>
        </w:tc>
      </w:tr>
    </w:tbl>
    <w:p>
      <w:pPr>
        <w:pStyle w:val="Heading1"/>
        <w:jc w:val="left"/>
      </w:pPr>
      <w:r>
        <w:rPr>
          <w:rFonts w:ascii="Times New Roman" w:hAnsi="Times New Roman"/>
          <w:b/>
          <w:sz w:val="28"/>
        </w:rPr>
        <w:t>List of Figures</w:t>
      </w:r>
    </w:p>
    <w:p>
      <w:pPr>
        <w:pStyle w:val="ListBullet"/>
        <w:spacing w:lineRule="auto" w:line="360" w:after="60"/>
      </w:pPr>
      <w:r>
        <w:rPr>
          <w:rFonts w:ascii="Times New Roman" w:hAnsi="Times New Roman"/>
          <w:sz w:val="24"/>
        </w:rPr>
        <w:t>Fig 4.1 — DeployIQ methodology flow.</w:t>
      </w:r>
    </w:p>
    <w:p>
      <w:pPr>
        <w:pStyle w:val="ListBullet"/>
        <w:spacing w:lineRule="auto" w:line="360" w:after="60"/>
      </w:pPr>
      <w:r>
        <w:rPr>
          <w:rFonts w:ascii="Times New Roman" w:hAnsi="Times New Roman"/>
          <w:sz w:val="24"/>
        </w:rPr>
        <w:t>Fig 4.2 — DeployIQ data model (ER).</w:t>
      </w:r>
    </w:p>
    <w:p>
      <w:pPr>
        <w:pStyle w:val="Heading1"/>
        <w:jc w:val="left"/>
      </w:pPr>
      <w:r>
        <w:rPr>
          <w:rFonts w:ascii="Times New Roman" w:hAnsi="Times New Roman"/>
          <w:b/>
          <w:sz w:val="28"/>
        </w:rPr>
        <w:t>List of Tables</w:t>
      </w:r>
    </w:p>
    <w:p>
      <w:pPr>
        <w:pStyle w:val="ListBullet"/>
        <w:spacing w:lineRule="auto" w:line="360" w:after="60"/>
      </w:pPr>
      <w:r>
        <w:rPr>
          <w:rFonts w:ascii="Times New Roman" w:hAnsi="Times New Roman"/>
          <w:sz w:val="24"/>
        </w:rPr>
        <w:t>Table 2.1 — Literature comparison.</w:t>
      </w:r>
    </w:p>
    <w:p>
      <w:pPr>
        <w:pStyle w:val="ListBullet"/>
        <w:spacing w:lineRule="auto" w:line="360" w:after="60"/>
      </w:pPr>
      <w:r>
        <w:rPr>
          <w:rFonts w:ascii="Times New Roman" w:hAnsi="Times New Roman"/>
          <w:sz w:val="24"/>
        </w:rPr>
        <w:t>Table 4.1 — System modules and responsibilities.</w:t>
      </w:r>
    </w:p>
    <w:p>
      <w:pPr>
        <w:pStyle w:val="Heading1"/>
        <w:jc w:val="left"/>
      </w:pPr>
      <w:r>
        <w:rPr>
          <w:rFonts w:ascii="Times New Roman" w:hAnsi="Times New Roman"/>
          <w:b/>
          <w:sz w:val="28"/>
        </w:rPr>
        <w:t>Abstract</w:t>
      </w:r>
    </w:p>
    <w:p>
      <w:pPr>
        <w:spacing w:lineRule="auto" w:line="360" w:after="120" w:before="0"/>
        <w:jc w:val="both"/>
      </w:pPr>
      <w:r>
        <w:rPr>
          <w:rFonts w:ascii="Times New Roman" w:hAnsi="Times New Roman"/>
          <w:b w:val="0"/>
          <w:i w:val="0"/>
          <w:color w:val="000000"/>
          <w:sz w:val="24"/>
        </w:rPr>
        <w:t>DeployIQ is an AI DevOps copilot that converts raw Docker failure logs into evidence-grounded root-cause reports. A Docker watcher streams container logs, an evidence extractor normalizes exceptions and signatures, a BM25 retriever grounds the analysis in curated DevOps runbooks, and a LangGraph pipeline (evidence → RAG → root-cause → report) produces a structured RCA with findings, recommendations, verification steps and confidence. A React investigation workbench presents per-attempt snapshots, citations, runbook panels and model metadata with keyboard access and responsive layout. The backend uses FastAPI, SQLAlchemy, SQLite with Alembic migrations and OpenRouter free-model routing with fallbacks; CI enforces Ruff, pytest, TypeScript, oxlint, Vitest, build and Playwright E2E. The current MVP covers incident ingestion, RAG, agentic RCA and the dashboard workbench; next steps are live-demo hardening, evaluation on real failures and deployment readiness.</w:t>
      </w:r>
    </w:p>
    <w:p>
      <w:pPr>
        <w:pStyle w:val="Heading1"/>
        <w:jc w:val="left"/>
      </w:pPr>
      <w:r>
        <w:rPr>
          <w:rFonts w:ascii="Times New Roman" w:hAnsi="Times New Roman"/>
          <w:b/>
          <w:sz w:val="28"/>
        </w:rPr>
        <w:t>Table of Contents</w:t>
      </w:r>
    </w:p>
    <w:p>
      <w:pPr/>
      <w:r>
        <w:fldChar w:fldCharType="begin"/>
      </w:r>
      <w:r>
        <w:instrText xml:space="preserve">TOC \o "1-3" \h \z \u</w:instrText>
      </w:r>
      <w:r>
        <w:fldChar w:fldCharType="separate"/>
      </w:r>
      <w:r>
        <w:fldChar w:fldCharType="end"/>
      </w:r>
    </w:p>
    <w:p>
      <w:pPr>
        <w:spacing w:lineRule="auto" w:line="360" w:after="120" w:before="0"/>
        <w:jc w:val="both"/>
      </w:pPr>
      <w:r>
        <w:rPr>
          <w:rFonts w:ascii="Times New Roman" w:hAnsi="Times New Roman"/>
          <w:b w:val="0"/>
          <w:i/>
          <w:color w:val="000000"/>
          <w:sz w:val="20"/>
        </w:rPr>
        <w:t>Right-click &gt; Update Field in MS Word to refresh page numbers.</w:t>
      </w:r>
    </w:p>
    <w:p>
      <w:pPr>
        <w:sectPr>
          <w:pgSz w:w="12240" w:h="15840"/>
          <w:pgMar w:top="1440" w:right="1440" w:bottom="1440" w:left="1800" w:header="720" w:footer="720" w:gutter="0"/>
          <w:cols w:space="720"/>
          <w:docGrid w:linePitch="360"/>
        </w:sectPr>
      </w:pPr>
    </w:p>
    <w:p>
      <w:pPr>
        <w:pStyle w:val="Heading1"/>
        <w:jc w:val="left"/>
      </w:pPr>
      <w:r>
        <w:rPr>
          <w:rFonts w:ascii="Times New Roman" w:hAnsi="Times New Roman"/>
          <w:b/>
          <w:sz w:val="28"/>
        </w:rPr>
        <w:t>Chapter 1 — Introduction</w:t>
      </w:r>
    </w:p>
    <w:p>
      <w:pPr>
        <w:pStyle w:val="Heading2"/>
        <w:jc w:val="left"/>
      </w:pPr>
      <w:r>
        <w:rPr>
          <w:rFonts w:ascii="Times New Roman" w:hAnsi="Times New Roman"/>
          <w:b/>
          <w:sz w:val="28"/>
        </w:rPr>
        <w:t>1.1 General</w:t>
      </w:r>
    </w:p>
    <w:p>
      <w:pPr>
        <w:spacing w:lineRule="auto" w:line="360" w:after="120" w:before="0"/>
        <w:jc w:val="both"/>
      </w:pPr>
      <w:r>
        <w:rPr>
          <w:rFonts w:ascii="Times New Roman" w:hAnsi="Times New Roman"/>
          <w:b w:val="0"/>
          <w:i w:val="0"/>
          <w:color w:val="000000"/>
          <w:sz w:val="24"/>
        </w:rPr>
        <w:t>Modern services ship through Docker and CI/CD, yet failures still surface as long, noisy container logs. Developers triage manually: scrolling logs, recalling past runbooks and guessing root causes under release pressure. DeployIQ addresses this gap with an AI copilot that watches Docker output, extracts structured evidence, retrieves the most relevant runbooks and asks a language model to reason only over that grounded evidence. Every investigation freezes its evidence and runbook snapshots so results are auditable and replayable.</w:t>
      </w:r>
    </w:p>
    <w:p>
      <w:pPr>
        <w:pStyle w:val="Heading2"/>
        <w:jc w:val="left"/>
      </w:pPr>
      <w:r>
        <w:rPr>
          <w:rFonts w:ascii="Times New Roman" w:hAnsi="Times New Roman"/>
          <w:b/>
          <w:sz w:val="28"/>
        </w:rPr>
        <w:t>1.2 Problem Statement</w:t>
      </w:r>
    </w:p>
    <w:p>
      <w:pPr>
        <w:pStyle w:val="Heading2"/>
        <w:jc w:val="left"/>
      </w:pPr>
      <w:r>
        <w:rPr>
          <w:rFonts w:ascii="Times New Roman" w:hAnsi="Times New Roman"/>
          <w:b/>
          <w:sz w:val="28"/>
        </w:rPr>
        <w:t>1.2.1 Symptom noise</w:t>
      </w:r>
    </w:p>
    <w:p>
      <w:pPr>
        <w:spacing w:lineRule="auto" w:line="360" w:after="120" w:before="0"/>
        <w:jc w:val="both"/>
      </w:pPr>
      <w:r>
        <w:rPr>
          <w:rFonts w:ascii="Times New Roman" w:hAnsi="Times New Roman"/>
          <w:b w:val="0"/>
          <w:i w:val="0"/>
          <w:color w:val="000000"/>
          <w:sz w:val="24"/>
        </w:rPr>
        <w:t>Container logs mix tracebacks, retries and framework chatter. Without normalization, the same failure looks different on every run and simple keyword search misses the true signature.</w:t>
      </w:r>
    </w:p>
    <w:p>
      <w:pPr>
        <w:pStyle w:val="Heading2"/>
        <w:jc w:val="left"/>
      </w:pPr>
      <w:r>
        <w:rPr>
          <w:rFonts w:ascii="Times New Roman" w:hAnsi="Times New Roman"/>
          <w:b/>
          <w:sz w:val="28"/>
        </w:rPr>
        <w:t>1.2.2 Ungrounded AI advice</w:t>
      </w:r>
    </w:p>
    <w:p>
      <w:pPr>
        <w:spacing w:lineRule="auto" w:line="360" w:after="120" w:before="0"/>
        <w:jc w:val="both"/>
      </w:pPr>
      <w:r>
        <w:rPr>
          <w:rFonts w:ascii="Times New Roman" w:hAnsi="Times New Roman"/>
          <w:b w:val="0"/>
          <w:i w:val="0"/>
          <w:color w:val="000000"/>
          <w:sz w:val="24"/>
        </w:rPr>
        <w:t>Generic LLM answers hallucinate commands and cite missing sources. Operations teams cannot trust recommendations that are not tied to observed evidence and versioned runbooks.</w:t>
      </w:r>
    </w:p>
    <w:p>
      <w:pPr>
        <w:pStyle w:val="Heading2"/>
        <w:jc w:val="left"/>
      </w:pPr>
      <w:r>
        <w:rPr>
          <w:rFonts w:ascii="Times New Roman" w:hAnsi="Times New Roman"/>
          <w:b/>
          <w:sz w:val="28"/>
        </w:rPr>
        <w:t>1.3 Significance of the Study</w:t>
      </w:r>
    </w:p>
    <w:p>
      <w:pPr>
        <w:spacing w:lineRule="auto" w:line="360" w:after="120" w:before="0"/>
        <w:jc w:val="both"/>
      </w:pPr>
      <w:r>
        <w:rPr>
          <w:rFonts w:ascii="Times New Roman" w:hAnsi="Times New Roman"/>
          <w:b w:val="0"/>
          <w:i w:val="0"/>
          <w:color w:val="000000"/>
          <w:sz w:val="24"/>
        </w:rPr>
        <w:t>Evidence-grounded RCA reduces mean time to resolution, preserves institutional runbook knowledge, and makes AI assistance accountable: each finding links to evidence IDs and runbook IDs, each recommendation carries risk and approval flags, and each attempt records model, tokens and duration.</w:t>
      </w:r>
    </w:p>
    <w:p>
      <w:pPr>
        <w:pStyle w:val="Heading2"/>
        <w:jc w:val="left"/>
      </w:pPr>
      <w:r>
        <w:rPr>
          <w:rFonts w:ascii="Times New Roman" w:hAnsi="Times New Roman"/>
          <w:b/>
          <w:sz w:val="28"/>
        </w:rPr>
        <w:t>1.4 Scope of the Study</w:t>
      </w:r>
    </w:p>
    <w:p>
      <w:pPr>
        <w:spacing w:lineRule="auto" w:line="360" w:after="120" w:before="0"/>
        <w:jc w:val="both"/>
      </w:pPr>
      <w:r>
        <w:rPr>
          <w:rFonts w:ascii="Times New Roman" w:hAnsi="Times New Roman"/>
          <w:b w:val="0"/>
          <w:i w:val="0"/>
          <w:color w:val="000000"/>
          <w:sz w:val="24"/>
        </w:rPr>
        <w:t>In scope: Docker log monitoring, incident grouping by error signature, BM25 runbook retrieval, LangGraph RCA with OpenRouter free models, FastAPI services, React incident center and investigation workbench, SQLite persistence with Alembic, and CI-gated quality. Out of scope: automatic production remediation, multi-cloud orchestration and infinite log retention.</w:t>
      </w:r>
    </w:p>
    <w:p>
      <w:pPr>
        <w:pStyle w:val="Heading2"/>
        <w:jc w:val="left"/>
      </w:pPr>
      <w:r>
        <w:rPr>
          <w:rFonts w:ascii="Times New Roman" w:hAnsi="Times New Roman"/>
          <w:b/>
          <w:sz w:val="28"/>
        </w:rPr>
        <w:t>1.5 Summary</w:t>
      </w:r>
    </w:p>
    <w:p>
      <w:pPr>
        <w:spacing w:lineRule="auto" w:line="360" w:after="120" w:before="0"/>
        <w:jc w:val="both"/>
      </w:pPr>
      <w:r>
        <w:rPr>
          <w:rFonts w:ascii="Times New Roman" w:hAnsi="Times New Roman"/>
          <w:b w:val="0"/>
          <w:i w:val="0"/>
          <w:color w:val="000000"/>
          <w:sz w:val="24"/>
        </w:rPr>
        <w:t>This chapter introduced the operational pain of Docker failures, defined the grounding problem, and scoped DeployIQ as an evidence-first AI copilot. Chapter 2 reviews existing approaches.</w:t>
      </w:r>
    </w:p>
    <w:p>
      <w:pPr>
        <w:pStyle w:val="Heading1"/>
        <w:jc w:val="left"/>
      </w:pPr>
      <w:r>
        <w:rPr>
          <w:rFonts w:ascii="Times New Roman" w:hAnsi="Times New Roman"/>
          <w:b/>
          <w:sz w:val="28"/>
        </w:rPr>
        <w:t>Chapter 2 — Literature Review</w:t>
      </w:r>
    </w:p>
    <w:p>
      <w:pPr>
        <w:pStyle w:val="Heading2"/>
        <w:jc w:val="left"/>
      </w:pPr>
      <w:r>
        <w:rPr>
          <w:rFonts w:ascii="Times New Roman" w:hAnsi="Times New Roman"/>
          <w:b/>
          <w:sz w:val="28"/>
        </w:rPr>
        <w:t>2.1 General</w:t>
      </w:r>
    </w:p>
    <w:p>
      <w:pPr>
        <w:spacing w:lineRule="auto" w:line="360" w:after="120" w:before="0"/>
        <w:jc w:val="both"/>
      </w:pPr>
      <w:r>
        <w:rPr>
          <w:rFonts w:ascii="Times New Roman" w:hAnsi="Times New Roman"/>
          <w:b w:val="0"/>
          <w:i w:val="0"/>
          <w:color w:val="000000"/>
          <w:sz w:val="24"/>
        </w:rPr>
        <w:t>We survey four strands: container log monitoring, retrieval-augmented generation, agentic LLM workflows for operations, and RCA user interfaces. The goal is to position DeployIQ against dashboards that only display logs and chatbots that only generate text.</w:t>
      </w:r>
    </w:p>
    <w:p>
      <w:pPr>
        <w:pStyle w:val="Heading2"/>
        <w:jc w:val="left"/>
      </w:pPr>
      <w:r>
        <w:rPr>
          <w:rFonts w:ascii="Times New Roman" w:hAnsi="Times New Roman"/>
          <w:b/>
          <w:sz w:val="28"/>
        </w:rPr>
        <w:t>2.2 Literature Based on the Study</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r/>
            <w:r>
              <w:rPr>
                <w:rFonts w:ascii="Times New Roman" w:hAnsi="Times New Roman"/>
                <w:b/>
                <w:sz w:val="24"/>
              </w:rPr>
              <w:t>Work / Tool</w:t>
            </w:r>
          </w:p>
        </w:tc>
        <w:tc>
          <w:tcPr>
            <w:tcW w:type="dxa" w:w="3000"/>
          </w:tcPr>
          <w:p>
            <w:r/>
            <w:r>
              <w:rPr>
                <w:rFonts w:ascii="Times New Roman" w:hAnsi="Times New Roman"/>
                <w:b/>
                <w:sz w:val="24"/>
              </w:rPr>
              <w:t>What it does</w:t>
            </w:r>
          </w:p>
        </w:tc>
        <w:tc>
          <w:tcPr>
            <w:tcW w:type="dxa" w:w="3000"/>
          </w:tcPr>
          <w:p>
            <w:r/>
            <w:r>
              <w:rPr>
                <w:rFonts w:ascii="Times New Roman" w:hAnsi="Times New Roman"/>
                <w:b/>
                <w:sz w:val="24"/>
              </w:rPr>
              <w:t>Limitation DeployIQ addresses</w:t>
            </w:r>
          </w:p>
        </w:tc>
      </w:tr>
      <w:tr>
        <w:tc>
          <w:tcPr>
            <w:tcW w:type="dxa" w:w="3000"/>
          </w:tcPr>
          <w:p>
            <w:r/>
            <w:r>
              <w:rPr>
                <w:rFonts w:ascii="Times New Roman" w:hAnsi="Times New Roman"/>
                <w:sz w:val="24"/>
              </w:rPr>
              <w:t>Docker + ELK / Prometheus stacks</w:t>
            </w:r>
          </w:p>
        </w:tc>
        <w:tc>
          <w:tcPr>
            <w:tcW w:type="dxa" w:w="3000"/>
          </w:tcPr>
          <w:p>
            <w:r/>
            <w:r>
              <w:rPr>
                <w:rFonts w:ascii="Times New Roman" w:hAnsi="Times New Roman"/>
                <w:sz w:val="24"/>
              </w:rPr>
              <w:t>Collect and chart container logs and metrics</w:t>
            </w:r>
          </w:p>
        </w:tc>
        <w:tc>
          <w:tcPr>
            <w:tcW w:type="dxa" w:w="3000"/>
          </w:tcPr>
          <w:p>
            <w:r/>
            <w:r>
              <w:rPr>
                <w:rFonts w:ascii="Times New Roman" w:hAnsi="Times New Roman"/>
                <w:sz w:val="24"/>
              </w:rPr>
              <w:t>No causal reasoning; leaves triage to humans</w:t>
            </w:r>
          </w:p>
        </w:tc>
      </w:tr>
      <w:tr>
        <w:tc>
          <w:tcPr>
            <w:tcW w:type="dxa" w:w="3000"/>
          </w:tcPr>
          <w:p>
            <w:r/>
            <w:r>
              <w:rPr>
                <w:rFonts w:ascii="Times New Roman" w:hAnsi="Times New Roman"/>
                <w:sz w:val="24"/>
              </w:rPr>
              <w:t>Lewis et al., RAG (2020)</w:t>
            </w:r>
          </w:p>
        </w:tc>
        <w:tc>
          <w:tcPr>
            <w:tcW w:type="dxa" w:w="3000"/>
          </w:tcPr>
          <w:p>
            <w:r/>
            <w:r>
              <w:rPr>
                <w:rFonts w:ascii="Times New Roman" w:hAnsi="Times New Roman"/>
                <w:sz w:val="24"/>
              </w:rPr>
              <w:t>Grounds generation in retrieved passages</w:t>
            </w:r>
          </w:p>
        </w:tc>
        <w:tc>
          <w:tcPr>
            <w:tcW w:type="dxa" w:w="3000"/>
          </w:tcPr>
          <w:p>
            <w:r/>
            <w:r>
              <w:rPr>
                <w:rFonts w:ascii="Times New Roman" w:hAnsi="Times New Roman"/>
                <w:sz w:val="24"/>
              </w:rPr>
              <w:t>General NLP; needs DevOps runbook corpus + BM25 tuning</w:t>
            </w:r>
          </w:p>
        </w:tc>
      </w:tr>
      <w:tr>
        <w:tc>
          <w:tcPr>
            <w:tcW w:type="dxa" w:w="3000"/>
          </w:tcPr>
          <w:p>
            <w:r/>
            <w:r>
              <w:rPr>
                <w:rFonts w:ascii="Times New Roman" w:hAnsi="Times New Roman"/>
                <w:sz w:val="24"/>
              </w:rPr>
              <w:t>LangChain / LangGraph agents</w:t>
            </w:r>
          </w:p>
        </w:tc>
        <w:tc>
          <w:tcPr>
            <w:tcW w:type="dxa" w:w="3000"/>
          </w:tcPr>
          <w:p>
            <w:r/>
            <w:r>
              <w:rPr>
                <w:rFonts w:ascii="Times New Roman" w:hAnsi="Times New Roman"/>
                <w:sz w:val="24"/>
              </w:rPr>
              <w:t>Compose multi-step LLM pipelines with state</w:t>
            </w:r>
          </w:p>
        </w:tc>
        <w:tc>
          <w:tcPr>
            <w:tcW w:type="dxa" w:w="3000"/>
          </w:tcPr>
          <w:p>
            <w:r/>
            <w:r>
              <w:rPr>
                <w:rFonts w:ascii="Times New Roman" w:hAnsi="Times New Roman"/>
                <w:sz w:val="24"/>
              </w:rPr>
              <w:t>Needs evidence contracts, retries and cost guards for ops use</w:t>
            </w:r>
          </w:p>
        </w:tc>
      </w:tr>
      <w:tr>
        <w:tc>
          <w:tcPr>
            <w:tcW w:type="dxa" w:w="3000"/>
          </w:tcPr>
          <w:p>
            <w:r/>
            <w:r>
              <w:rPr>
                <w:rFonts w:ascii="Times New Roman" w:hAnsi="Times New Roman"/>
                <w:sz w:val="24"/>
              </w:rPr>
              <w:t>OpenRouter free-model routing</w:t>
            </w:r>
          </w:p>
        </w:tc>
        <w:tc>
          <w:tcPr>
            <w:tcW w:type="dxa" w:w="3000"/>
          </w:tcPr>
          <w:p>
            <w:r/>
            <w:r>
              <w:rPr>
                <w:rFonts w:ascii="Times New Roman" w:hAnsi="Times New Roman"/>
                <w:sz w:val="24"/>
              </w:rPr>
              <w:t>Aggregates hosted LLMs incl. free tiers</w:t>
            </w:r>
          </w:p>
        </w:tc>
        <w:tc>
          <w:tcPr>
            <w:tcW w:type="dxa" w:w="3000"/>
          </w:tcPr>
          <w:p>
            <w:r/>
            <w:r>
              <w:rPr>
                <w:rFonts w:ascii="Times New Roman" w:hAnsi="Times New Roman"/>
                <w:sz w:val="24"/>
              </w:rPr>
              <w:t>Free tiers return null/strict-schema edge cases; needs fallback + accounting</w:t>
            </w:r>
          </w:p>
        </w:tc>
      </w:tr>
      <w:tr>
        <w:tc>
          <w:tcPr>
            <w:tcW w:type="dxa" w:w="3000"/>
          </w:tcPr>
          <w:p>
            <w:r/>
            <w:r>
              <w:rPr>
                <w:rFonts w:ascii="Times New Roman" w:hAnsi="Times New Roman"/>
                <w:sz w:val="24"/>
              </w:rPr>
              <w:t>Incident dashboards (e.g., PagerDuty, Grafana)</w:t>
            </w:r>
          </w:p>
        </w:tc>
        <w:tc>
          <w:tcPr>
            <w:tcW w:type="dxa" w:w="3000"/>
          </w:tcPr>
          <w:p>
            <w:r/>
            <w:r>
              <w:rPr>
                <w:rFonts w:ascii="Times New Roman" w:hAnsi="Times New Roman"/>
                <w:sz w:val="24"/>
              </w:rPr>
              <w:t>List alerts and timelines</w:t>
            </w:r>
          </w:p>
        </w:tc>
        <w:tc>
          <w:tcPr>
            <w:tcW w:type="dxa" w:w="3000"/>
          </w:tcPr>
          <w:p>
            <w:r/>
            <w:r>
              <w:rPr>
                <w:rFonts w:ascii="Times New Roman" w:hAnsi="Times New Roman"/>
                <w:sz w:val="24"/>
              </w:rPr>
              <w:t>Citations, snapshots and approval-gated fixes are rare</w:t>
            </w:r>
          </w:p>
        </w:tc>
      </w:tr>
    </w:tbl>
    <w:p>
      <w:pPr>
        <w:spacing w:lineRule="auto" w:line="360" w:after="120" w:before="0"/>
        <w:jc w:val="center"/>
      </w:pPr>
      <w:r>
        <w:rPr>
          <w:rFonts w:ascii="Times New Roman" w:hAnsi="Times New Roman"/>
          <w:b w:val="0"/>
          <w:i/>
          <w:color w:val="000000"/>
          <w:sz w:val="22"/>
        </w:rPr>
        <w:t>Table 2.1 — Literature comparison.</w:t>
      </w:r>
    </w:p>
    <w:p>
      <w:pPr>
        <w:pStyle w:val="Heading2"/>
        <w:jc w:val="left"/>
      </w:pPr>
      <w:r>
        <w:rPr>
          <w:rFonts w:ascii="Times New Roman" w:hAnsi="Times New Roman"/>
          <w:b/>
          <w:sz w:val="28"/>
        </w:rPr>
        <w:t>2.3 Summary from Literature Review</w:t>
      </w:r>
    </w:p>
    <w:p>
      <w:pPr>
        <w:pStyle w:val="ListBullet"/>
        <w:spacing w:lineRule="auto" w:line="360" w:after="60"/>
      </w:pPr>
      <w:r>
        <w:rPr>
          <w:rFonts w:ascii="Times New Roman" w:hAnsi="Times New Roman"/>
          <w:sz w:val="24"/>
        </w:rPr>
        <w:t>Monitoring gives data but not causes; RCA needs an explicit evidence contract.</w:t>
      </w:r>
    </w:p>
    <w:p>
      <w:pPr>
        <w:pStyle w:val="ListBullet"/>
        <w:spacing w:lineRule="auto" w:line="360" w:after="60"/>
      </w:pPr>
      <w:r>
        <w:rPr>
          <w:rFonts w:ascii="Times New Roman" w:hAnsi="Times New Roman"/>
          <w:sz w:val="24"/>
        </w:rPr>
        <w:t>RAG improves trust only when retrieval is ranked (BM25) and citations are enforced.</w:t>
      </w:r>
    </w:p>
    <w:p>
      <w:pPr>
        <w:pStyle w:val="ListBullet"/>
        <w:spacing w:lineRule="auto" w:line="360" w:after="60"/>
      </w:pPr>
      <w:r>
        <w:rPr>
          <w:rFonts w:ascii="Times New Roman" w:hAnsi="Times New Roman"/>
          <w:sz w:val="24"/>
        </w:rPr>
        <w:t>Agentic pipelines need bounded retries, usage accounting and terminal states (insufficient-evidence, validation-failed).</w:t>
      </w:r>
    </w:p>
    <w:p>
      <w:pPr>
        <w:pStyle w:val="ListBullet"/>
        <w:spacing w:lineRule="auto" w:line="360" w:after="60"/>
      </w:pPr>
      <w:r>
        <w:rPr>
          <w:rFonts w:ascii="Times New Roman" w:hAnsi="Times New Roman"/>
          <w:sz w:val="24"/>
        </w:rPr>
        <w:t>Workbench UX needs keyboard access, focus management and snapshot-scoped citations — the focus of our frontend milestones.</w:t>
      </w:r>
    </w:p>
    <w:p>
      <w:pPr>
        <w:pStyle w:val="Heading1"/>
        <w:jc w:val="left"/>
      </w:pPr>
      <w:r>
        <w:rPr>
          <w:rFonts w:ascii="Times New Roman" w:hAnsi="Times New Roman"/>
          <w:b/>
          <w:sz w:val="28"/>
        </w:rPr>
        <w:t>Chapter 3 — Aim and Objectives</w:t>
      </w:r>
    </w:p>
    <w:p>
      <w:pPr>
        <w:pStyle w:val="Heading2"/>
        <w:jc w:val="left"/>
      </w:pPr>
      <w:r>
        <w:rPr>
          <w:rFonts w:ascii="Times New Roman" w:hAnsi="Times New Roman"/>
          <w:b/>
          <w:sz w:val="28"/>
        </w:rPr>
        <w:t>3.1 General</w:t>
      </w:r>
    </w:p>
    <w:p>
      <w:pPr>
        <w:spacing w:lineRule="auto" w:line="360" w:after="120" w:before="0"/>
        <w:jc w:val="both"/>
      </w:pPr>
      <w:r>
        <w:rPr>
          <w:rFonts w:ascii="Times New Roman" w:hAnsi="Times New Roman"/>
          <w:b w:val="0"/>
          <w:i w:val="0"/>
          <w:color w:val="000000"/>
          <w:sz w:val="24"/>
        </w:rPr>
        <w:t>Following the gaps in Chapter 2, DeployIQ aims to deliver a demonstrable, tested copilot: from Docker logs to a grounded RCA report with UI, persistence and CI — not a chatbot demo.</w:t>
      </w:r>
    </w:p>
    <w:p>
      <w:pPr>
        <w:pStyle w:val="Heading2"/>
        <w:jc w:val="left"/>
      </w:pPr>
      <w:r>
        <w:rPr>
          <w:rFonts w:ascii="Times New Roman" w:hAnsi="Times New Roman"/>
          <w:b/>
          <w:sz w:val="28"/>
        </w:rPr>
        <w:t>3.2 Aim of the Study</w:t>
      </w:r>
    </w:p>
    <w:p>
      <w:pPr>
        <w:spacing w:lineRule="auto" w:line="360" w:after="120" w:before="0"/>
        <w:jc w:val="both"/>
      </w:pPr>
      <w:r>
        <w:rPr>
          <w:rFonts w:ascii="Times New Roman" w:hAnsi="Times New Roman"/>
          <w:b w:val="0"/>
          <w:i w:val="0"/>
          <w:color w:val="000000"/>
          <w:sz w:val="24"/>
        </w:rPr>
        <w:t>To design and implement an evidence-grounded AI DevOps copilot that monitors Docker logs, retrieves relevant runbooks and produces auditable root-cause analyses through a tested web workbench.</w:t>
      </w:r>
    </w:p>
    <w:p>
      <w:pPr>
        <w:pStyle w:val="Heading2"/>
        <w:jc w:val="left"/>
      </w:pPr>
      <w:r>
        <w:rPr>
          <w:rFonts w:ascii="Times New Roman" w:hAnsi="Times New Roman"/>
          <w:b/>
          <w:sz w:val="28"/>
        </w:rPr>
        <w:t>3.3 Objectives of the Study</w:t>
      </w:r>
    </w:p>
    <w:p>
      <w:pPr>
        <w:pStyle w:val="ListBullet"/>
        <w:spacing w:lineRule="auto" w:line="360" w:after="60"/>
      </w:pPr>
      <w:r>
        <w:rPr>
          <w:rFonts w:ascii="Times New Roman" w:hAnsi="Times New Roman"/>
          <w:sz w:val="24"/>
        </w:rPr>
        <w:t>Objective 1: Implement Docker log watching, normalization and incident grouping with SQLite + Alembic persistence.</w:t>
      </w:r>
    </w:p>
    <w:p>
      <w:pPr>
        <w:pStyle w:val="ListBullet"/>
        <w:spacing w:lineRule="auto" w:line="360" w:after="60"/>
      </w:pPr>
      <w:r>
        <w:rPr>
          <w:rFonts w:ascii="Times New Roman" w:hAnsi="Times New Roman"/>
          <w:sz w:val="24"/>
        </w:rPr>
        <w:t>Objective 2: Build BM25 runbook retrieval with relevance scoring and snapshot freezing per investigation.</w:t>
      </w:r>
    </w:p>
    <w:p>
      <w:pPr>
        <w:pStyle w:val="ListBullet"/>
        <w:spacing w:lineRule="auto" w:line="360" w:after="60"/>
      </w:pPr>
      <w:r>
        <w:rPr>
          <w:rFonts w:ascii="Times New Roman" w:hAnsi="Times New Roman"/>
          <w:sz w:val="24"/>
        </w:rPr>
        <w:t>Objective 3: Implement the LangGraph RCA pipeline on OpenRouter free models with fallbacks, validation and token accounting.</w:t>
      </w:r>
    </w:p>
    <w:p>
      <w:pPr>
        <w:pStyle w:val="ListBullet"/>
        <w:spacing w:lineRule="auto" w:line="360" w:after="60"/>
      </w:pPr>
      <w:r>
        <w:rPr>
          <w:rFonts w:ascii="Times New Roman" w:hAnsi="Times New Roman"/>
          <w:sz w:val="24"/>
        </w:rPr>
        <w:t>Objective 4: Deliver the React incident center and investigation workbench (keyboard access, focus, responsive, E2E-tested) under green CI.</w:t>
      </w:r>
    </w:p>
    <w:p>
      <w:pPr>
        <w:pStyle w:val="Heading1"/>
        <w:jc w:val="left"/>
      </w:pPr>
      <w:r>
        <w:rPr>
          <w:rFonts w:ascii="Times New Roman" w:hAnsi="Times New Roman"/>
          <w:b/>
          <w:sz w:val="28"/>
        </w:rPr>
        <w:t>Chapter 4 — Methodology</w:t>
      </w:r>
    </w:p>
    <w:p>
      <w:pPr>
        <w:pStyle w:val="Heading2"/>
        <w:jc w:val="left"/>
      </w:pPr>
      <w:r>
        <w:rPr>
          <w:rFonts w:ascii="Times New Roman" w:hAnsi="Times New Roman"/>
          <w:b/>
          <w:sz w:val="28"/>
        </w:rPr>
        <w:t>4.1 General</w:t>
      </w:r>
    </w:p>
    <w:p>
      <w:pPr>
        <w:spacing w:lineRule="auto" w:line="360" w:after="120" w:before="0"/>
        <w:jc w:val="both"/>
      </w:pPr>
      <w:r>
        <w:rPr>
          <w:rFonts w:ascii="Times New Roman" w:hAnsi="Times New Roman"/>
          <w:b w:val="0"/>
          <w:i w:val="0"/>
          <w:color w:val="000000"/>
          <w:sz w:val="24"/>
        </w:rPr>
        <w:t>Methodology follows the objectives in order: ingest, retrieve, reason, present, and verify. Each phase has an artifact and a test gate so failures are caught before the demo.</w:t>
      </w:r>
    </w:p>
    <w:p>
      <w:pPr>
        <w:pStyle w:val="Heading2"/>
        <w:jc w:val="left"/>
      </w:pPr>
      <w:r>
        <w:rPr>
          <w:rFonts w:ascii="Times New Roman" w:hAnsi="Times New Roman"/>
          <w:b/>
          <w:sz w:val="28"/>
        </w:rPr>
        <w:t>4.2 Methodology of the Study</w:t>
      </w:r>
    </w:p>
    <w:p>
      <w:pPr>
        <w:spacing w:lineRule="auto" w:line="360" w:after="120" w:before="0"/>
        <w:jc w:val="both"/>
      </w:pPr>
      <w:r>
        <w:rPr>
          <w:rFonts w:ascii="Times New Roman" w:hAnsi="Times New Roman"/>
          <w:b w:val="0"/>
          <w:i w:val="0"/>
          <w:color w:val="000000"/>
          <w:sz w:val="24"/>
        </w:rPr>
        <w:t>Docker watcher streams logs for configured projects, the extractor pulls exceptions and signatures, and incidents are grouped to avoid duplicates. For each investigation, BM25 ranks runbooks; LangGraph runs evidence → RAG → root-cause → report nodes with Pydantic validation, one logical LLM call plus at most one compatibility retry, and dedup guards. The React workbench polls active attempts, shares one clock for elapsed time, announces transitions politely, and scopes every citation to its own snapshot. Migrations (0001–0005) own the schema; CI runs Ruff, pytest, typecheck, oxlint, Vitest, build and Playwright.</w:t>
      </w:r>
    </w:p>
    <w:tbl>
      <w:tblPr>
        <w:tblStyle w:val="TableGrid"/>
        <w:tblW w:type="auto" w:w="0"/>
        <w:jc w:val="center"/>
        <w:tblLook w:firstColumn="1" w:firstRow="1" w:lastColumn="0" w:lastRow="0" w:noHBand="0" w:noVBand="1" w:val="04A0"/>
      </w:tblPr>
      <w:tblGrid>
        <w:gridCol w:w="4500"/>
        <w:gridCol w:w="4500"/>
      </w:tblGrid>
      <w:tr>
        <w:tc>
          <w:tcPr>
            <w:tcW w:type="dxa" w:w="4500"/>
          </w:tcPr>
          <w:p>
            <w:r/>
            <w:r>
              <w:rPr>
                <w:rFonts w:ascii="Times New Roman" w:hAnsi="Times New Roman"/>
                <w:b/>
                <w:sz w:val="24"/>
              </w:rPr>
              <w:t>Module</w:t>
            </w:r>
          </w:p>
        </w:tc>
        <w:tc>
          <w:tcPr>
            <w:tcW w:type="dxa" w:w="4500"/>
          </w:tcPr>
          <w:p>
            <w:r/>
            <w:r>
              <w:rPr>
                <w:rFonts w:ascii="Times New Roman" w:hAnsi="Times New Roman"/>
                <w:b/>
                <w:sz w:val="24"/>
              </w:rPr>
              <w:t>Responsibility</w:t>
            </w:r>
          </w:p>
        </w:tc>
      </w:tr>
      <w:tr>
        <w:tc>
          <w:tcPr>
            <w:tcW w:type="dxa" w:w="4500"/>
          </w:tcPr>
          <w:p>
            <w:r/>
            <w:r>
              <w:rPr>
                <w:rFonts w:ascii="Times New Roman" w:hAnsi="Times New Roman"/>
                <w:sz w:val="24"/>
              </w:rPr>
              <w:t>collector/watch</w:t>
            </w:r>
          </w:p>
        </w:tc>
        <w:tc>
          <w:tcPr>
            <w:tcW w:type="dxa" w:w="4500"/>
          </w:tcPr>
          <w:p>
            <w:r/>
            <w:r>
              <w:rPr>
                <w:rFonts w:ascii="Times New Roman" w:hAnsi="Times New Roman"/>
                <w:sz w:val="24"/>
              </w:rPr>
              <w:t>Docker log stream, signature grouping</w:t>
            </w:r>
          </w:p>
        </w:tc>
      </w:tr>
      <w:tr>
        <w:tc>
          <w:tcPr>
            <w:tcW w:type="dxa" w:w="4500"/>
          </w:tcPr>
          <w:p>
            <w:r/>
            <w:r>
              <w:rPr>
                <w:rFonts w:ascii="Times New Roman" w:hAnsi="Times New Roman"/>
                <w:sz w:val="24"/>
              </w:rPr>
              <w:t>evidence/extractor</w:t>
            </w:r>
          </w:p>
        </w:tc>
        <w:tc>
          <w:tcPr>
            <w:tcW w:type="dxa" w:w="4500"/>
          </w:tcPr>
          <w:p>
            <w:r/>
            <w:r>
              <w:rPr>
                <w:rFonts w:ascii="Times New Roman" w:hAnsi="Times New Roman"/>
                <w:sz w:val="24"/>
              </w:rPr>
              <w:t>Normalize exceptions, build evidence IDs</w:t>
            </w:r>
          </w:p>
        </w:tc>
      </w:tr>
      <w:tr>
        <w:tc>
          <w:tcPr>
            <w:tcW w:type="dxa" w:w="4500"/>
          </w:tcPr>
          <w:p>
            <w:r/>
            <w:r>
              <w:rPr>
                <w:rFonts w:ascii="Times New Roman" w:hAnsi="Times New Roman"/>
                <w:sz w:val="24"/>
              </w:rPr>
              <w:t>rag/retriever</w:t>
            </w:r>
          </w:p>
        </w:tc>
        <w:tc>
          <w:tcPr>
            <w:tcW w:type="dxa" w:w="4500"/>
          </w:tcPr>
          <w:p>
            <w:r/>
            <w:r>
              <w:rPr>
                <w:rFonts w:ascii="Times New Roman" w:hAnsi="Times New Roman"/>
                <w:sz w:val="24"/>
              </w:rPr>
              <w:t>BM25 rank runbooks, freeze runbook_snapshot</w:t>
            </w:r>
          </w:p>
        </w:tc>
      </w:tr>
      <w:tr>
        <w:tc>
          <w:tcPr>
            <w:tcW w:type="dxa" w:w="4500"/>
          </w:tcPr>
          <w:p>
            <w:r/>
            <w:r>
              <w:rPr>
                <w:rFonts w:ascii="Times New Roman" w:hAnsi="Times New Roman"/>
                <w:sz w:val="24"/>
              </w:rPr>
              <w:t>agents/graph</w:t>
            </w:r>
          </w:p>
        </w:tc>
        <w:tc>
          <w:tcPr>
            <w:tcW w:type="dxa" w:w="4500"/>
          </w:tcPr>
          <w:p>
            <w:r/>
            <w:r>
              <w:rPr>
                <w:rFonts w:ascii="Times New Roman" w:hAnsi="Times New Roman"/>
                <w:sz w:val="24"/>
              </w:rPr>
              <w:t>LangGraph pipeline + validation + fallback</w:t>
            </w:r>
          </w:p>
        </w:tc>
      </w:tr>
      <w:tr>
        <w:tc>
          <w:tcPr>
            <w:tcW w:type="dxa" w:w="4500"/>
          </w:tcPr>
          <w:p>
            <w:r/>
            <w:r>
              <w:rPr>
                <w:rFonts w:ascii="Times New Roman" w:hAnsi="Times New Roman"/>
                <w:sz w:val="24"/>
              </w:rPr>
              <w:t>services/investigation</w:t>
            </w:r>
          </w:p>
        </w:tc>
        <w:tc>
          <w:tcPr>
            <w:tcW w:type="dxa" w:w="4500"/>
          </w:tcPr>
          <w:p>
            <w:r/>
            <w:r>
              <w:rPr>
                <w:rFonts w:ascii="Times New Roman" w:hAnsi="Times New Roman"/>
                <w:sz w:val="24"/>
              </w:rPr>
              <w:t>Orchestrate, dedup, persist snapshots</w:t>
            </w:r>
          </w:p>
        </w:tc>
      </w:tr>
      <w:tr>
        <w:tc>
          <w:tcPr>
            <w:tcW w:type="dxa" w:w="4500"/>
          </w:tcPr>
          <w:p>
            <w:r/>
            <w:r>
              <w:rPr>
                <w:rFonts w:ascii="Times New Roman" w:hAnsi="Times New Roman"/>
                <w:sz w:val="24"/>
              </w:rPr>
              <w:t>api/routes</w:t>
            </w:r>
          </w:p>
        </w:tc>
        <w:tc>
          <w:tcPr>
            <w:tcW w:type="dxa" w:w="4500"/>
          </w:tcPr>
          <w:p>
            <w:r/>
            <w:r>
              <w:rPr>
                <w:rFonts w:ascii="Times New Roman" w:hAnsi="Times New Roman"/>
                <w:sz w:val="24"/>
              </w:rPr>
              <w:t>FastAPI REST for incidents/investigations</w:t>
            </w:r>
          </w:p>
        </w:tc>
      </w:tr>
      <w:tr>
        <w:tc>
          <w:tcPr>
            <w:tcW w:type="dxa" w:w="4500"/>
          </w:tcPr>
          <w:p>
            <w:r/>
            <w:r>
              <w:rPr>
                <w:rFonts w:ascii="Times New Roman" w:hAnsi="Times New Roman"/>
                <w:sz w:val="24"/>
              </w:rPr>
              <w:t>frontend workbench</w:t>
            </w:r>
          </w:p>
        </w:tc>
        <w:tc>
          <w:tcPr>
            <w:tcW w:type="dxa" w:w="4500"/>
          </w:tcPr>
          <w:p>
            <w:r/>
            <w:r>
              <w:rPr>
                <w:rFonts w:ascii="Times New Roman" w:hAnsi="Times New Roman"/>
                <w:sz w:val="24"/>
              </w:rPr>
              <w:t>History, citations, runbook panel, a11y</w:t>
            </w:r>
          </w:p>
        </w:tc>
      </w:tr>
    </w:tbl>
    <w:p>
      <w:pPr>
        <w:spacing w:lineRule="auto" w:line="360" w:after="120" w:before="0"/>
        <w:jc w:val="center"/>
      </w:pPr>
      <w:r>
        <w:rPr>
          <w:rFonts w:ascii="Times New Roman" w:hAnsi="Times New Roman"/>
          <w:b w:val="0"/>
          <w:i/>
          <w:color w:val="000000"/>
          <w:sz w:val="22"/>
        </w:rPr>
        <w:t>Table 4.1 — System modules and responsibilities.</w:t>
      </w:r>
    </w:p>
    <w:p>
      <w:r>
        <w:drawing>
          <wp:inline xmlns:a="http://schemas.openxmlformats.org/drawingml/2006/main" xmlns:pic="http://schemas.openxmlformats.org/drawingml/2006/picture">
            <wp:extent cx="5486400" cy="3526971"/>
            <wp:docPr id="1" name="Picture 1"/>
            <wp:cNvGraphicFramePr>
              <a:graphicFrameLocks noChangeAspect="1"/>
            </wp:cNvGraphicFramePr>
            <a:graphic>
              <a:graphicData uri="http://schemas.openxmlformats.org/drawingml/2006/picture">
                <pic:pic>
                  <pic:nvPicPr>
                    <pic:cNvPr id="0" name="methodology_flowchart.png"/>
                    <pic:cNvPicPr/>
                  </pic:nvPicPr>
                  <pic:blipFill>
                    <a:blip r:embed="rId11"/>
                    <a:stretch>
                      <a:fillRect/>
                    </a:stretch>
                  </pic:blipFill>
                  <pic:spPr>
                    <a:xfrm>
                      <a:off x="0" y="0"/>
                      <a:ext cx="5486400" cy="3526971"/>
                    </a:xfrm>
                    <a:prstGeom prst="rect"/>
                  </pic:spPr>
                </pic:pic>
              </a:graphicData>
            </a:graphic>
          </wp:inline>
        </w:drawing>
      </w:r>
    </w:p>
    <w:p>
      <w:pPr>
        <w:spacing w:lineRule="auto" w:line="360" w:after="120" w:before="0"/>
        <w:jc w:val="center"/>
      </w:pPr>
      <w:r>
        <w:rPr>
          <w:rFonts w:ascii="Times New Roman" w:hAnsi="Times New Roman"/>
          <w:b w:val="0"/>
          <w:i/>
          <w:color w:val="000000"/>
          <w:sz w:val="22"/>
        </w:rPr>
        <w:t>Fig 4.1 — DeployIQ methodology flow: ingest, retrieve, reason, present, verify.</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er_diagram.png"/>
                    <pic:cNvPicPr/>
                  </pic:nvPicPr>
                  <pic:blipFill>
                    <a:blip r:embed="rId12"/>
                    <a:stretch>
                      <a:fillRect/>
                    </a:stretch>
                  </pic:blipFill>
                  <pic:spPr>
                    <a:xfrm>
                      <a:off x="0" y="0"/>
                      <a:ext cx="5486400" cy="2743200"/>
                    </a:xfrm>
                    <a:prstGeom prst="rect"/>
                  </pic:spPr>
                </pic:pic>
              </a:graphicData>
            </a:graphic>
          </wp:inline>
        </w:drawing>
      </w:r>
    </w:p>
    <w:p>
      <w:pPr>
        <w:spacing w:lineRule="auto" w:line="360" w:after="120" w:before="0"/>
        <w:jc w:val="center"/>
      </w:pPr>
      <w:r>
        <w:rPr>
          <w:rFonts w:ascii="Times New Roman" w:hAnsi="Times New Roman"/>
          <w:b w:val="0"/>
          <w:i/>
          <w:color w:val="000000"/>
          <w:sz w:val="22"/>
        </w:rPr>
        <w:t>Fig 4.2 — Data model: one incident to many investigations; runbooks linked N:M at retrieval time; snapshots frozen per attempt.</w:t>
      </w:r>
    </w:p>
    <w:p>
      <w:pPr>
        <w:pStyle w:val="Heading2"/>
        <w:jc w:val="left"/>
      </w:pPr>
      <w:r>
        <w:rPr>
          <w:rFonts w:ascii="Times New Roman" w:hAnsi="Times New Roman"/>
          <w:b/>
          <w:sz w:val="28"/>
        </w:rPr>
        <w:t>4.3 Summary</w:t>
      </w:r>
    </w:p>
    <w:p>
      <w:pPr>
        <w:spacing w:lineRule="auto" w:line="360" w:after="120" w:before="0"/>
        <w:jc w:val="both"/>
      </w:pPr>
      <w:r>
        <w:rPr>
          <w:rFonts w:ascii="Times New Roman" w:hAnsi="Times New Roman"/>
          <w:b w:val="0"/>
          <w:i w:val="0"/>
          <w:color w:val="000000"/>
          <w:sz w:val="24"/>
        </w:rPr>
        <w:t>This chapter specified the phased methodology with flow and data views. Chapter 5 reports what the MVP achieves today.</w:t>
      </w:r>
    </w:p>
    <w:p>
      <w:pPr>
        <w:pStyle w:val="Heading1"/>
        <w:jc w:val="left"/>
      </w:pPr>
      <w:r>
        <w:rPr>
          <w:rFonts w:ascii="Times New Roman" w:hAnsi="Times New Roman"/>
          <w:b/>
          <w:sz w:val="28"/>
        </w:rPr>
        <w:t>Chapter 5 — Results and Discussion</w:t>
      </w:r>
    </w:p>
    <w:p>
      <w:pPr>
        <w:pStyle w:val="Heading2"/>
        <w:jc w:val="left"/>
      </w:pPr>
      <w:r>
        <w:rPr>
          <w:rFonts w:ascii="Times New Roman" w:hAnsi="Times New Roman"/>
          <w:b/>
          <w:sz w:val="28"/>
        </w:rPr>
        <w:t>5.1 General</w:t>
      </w:r>
    </w:p>
    <w:p>
      <w:pPr>
        <w:spacing w:lineRule="auto" w:line="360" w:after="120" w:before="0"/>
        <w:jc w:val="both"/>
      </w:pPr>
      <w:r>
        <w:rPr>
          <w:rFonts w:ascii="Times New Roman" w:hAnsi="Times New Roman"/>
          <w:b w:val="0"/>
          <w:i w:val="0"/>
          <w:color w:val="000000"/>
          <w:sz w:val="24"/>
        </w:rPr>
        <w:t>Results are reported against the objectives with the gates that prove them, followed by honest limits.</w:t>
      </w:r>
    </w:p>
    <w:p>
      <w:pPr>
        <w:pStyle w:val="Heading2"/>
        <w:jc w:val="left"/>
      </w:pPr>
      <w:r>
        <w:rPr>
          <w:rFonts w:ascii="Times New Roman" w:hAnsi="Times New Roman"/>
          <w:b/>
          <w:sz w:val="28"/>
        </w:rPr>
        <w:t>5.2 Implemented and Verified</w:t>
      </w:r>
    </w:p>
    <w:p>
      <w:pPr>
        <w:pStyle w:val="ListBullet"/>
        <w:spacing w:lineRule="auto" w:line="360" w:after="60"/>
      </w:pPr>
      <w:r>
        <w:rPr>
          <w:rFonts w:ascii="Times New Roman" w:hAnsi="Times New Roman"/>
          <w:sz w:val="24"/>
        </w:rPr>
        <w:t>Incident pipeline: Docker watcher, grouping, REST list/detail with observation counts.</w:t>
      </w:r>
    </w:p>
    <w:p>
      <w:pPr>
        <w:pStyle w:val="ListBullet"/>
        <w:spacing w:lineRule="auto" w:line="360" w:after="60"/>
      </w:pPr>
      <w:r>
        <w:rPr>
          <w:rFonts w:ascii="Times New Roman" w:hAnsi="Times New Roman"/>
          <w:sz w:val="24"/>
        </w:rPr>
        <w:t>RAG: BM25 over curated runbooks with scores, matched sections and safe source links.</w:t>
      </w:r>
    </w:p>
    <w:p>
      <w:pPr>
        <w:pStyle w:val="ListBullet"/>
        <w:spacing w:lineRule="auto" w:line="360" w:after="60"/>
      </w:pPr>
      <w:r>
        <w:rPr>
          <w:rFonts w:ascii="Times New Roman" w:hAnsi="Times New Roman"/>
          <w:sz w:val="24"/>
        </w:rPr>
        <w:t>Agentic RCA: LangGraph pipeline on OpenRouter free models; null/strict-schema fallbacks; token and duration accounting; terminal states for insufficient evidence and validation failures.</w:t>
      </w:r>
    </w:p>
    <w:p>
      <w:pPr>
        <w:pStyle w:val="ListBullet"/>
        <w:spacing w:lineRule="auto" w:line="360" w:after="60"/>
      </w:pPr>
      <w:r>
        <w:rPr>
          <w:rFonts w:ascii="Times New Roman" w:hAnsi="Times New Roman"/>
          <w:sz w:val="24"/>
        </w:rPr>
        <w:t>Workbench: per-attempt cards, evidence/runbook snapshots, citation focus with reduced-motion respect, single live region, queued/running transparency, keyboard + Escape flows, responsive 1280/360 with zero-overflow, retry recovery — all E2E covered.</w:t>
      </w:r>
    </w:p>
    <w:p>
      <w:pPr>
        <w:pStyle w:val="ListBullet"/>
        <w:spacing w:lineRule="auto" w:line="360" w:after="60"/>
      </w:pPr>
      <w:r>
        <w:rPr>
          <w:rFonts w:ascii="Times New Roman" w:hAnsi="Times New Roman"/>
          <w:sz w:val="24"/>
        </w:rPr>
        <w:t>Quality gates (latest): backend 97 passed + 1 skipped; frontend 92 Vitest; build; 7 Playwright E2E; green CI on the feature branch.</w:t>
      </w:r>
    </w:p>
    <w:p>
      <w:pPr>
        <w:pStyle w:val="Heading2"/>
        <w:jc w:val="left"/>
      </w:pPr>
      <w:r>
        <w:rPr>
          <w:rFonts w:ascii="Times New Roman" w:hAnsi="Times New Roman"/>
          <w:b/>
          <w:sz w:val="28"/>
        </w:rPr>
        <w:t>5.3 Discussion and Limits</w:t>
      </w:r>
    </w:p>
    <w:p>
      <w:pPr>
        <w:spacing w:lineRule="auto" w:line="360" w:after="120" w:before="0"/>
        <w:jc w:val="both"/>
      </w:pPr>
      <w:r>
        <w:rPr>
          <w:rFonts w:ascii="Times New Roman" w:hAnsi="Times New Roman"/>
          <w:b w:val="0"/>
          <w:i w:val="0"/>
          <w:color w:val="000000"/>
          <w:sz w:val="24"/>
        </w:rPr>
        <w:t>Free-model variance remains the main risk: strict JSON modes sometimes return null, handled by plain-JSON fallback and honest failure states. BM25 suffices for the curated corpus; dense vectors (pgvector) are future work. The pending-created cleanup now keys on successful refresh timestamps so ghost IDs expire even when data is unchanged, with failures never counted.</w:t>
      </w:r>
    </w:p>
    <w:p>
      <w:pPr>
        <w:pStyle w:val="Heading2"/>
        <w:jc w:val="left"/>
      </w:pPr>
      <w:r>
        <w:rPr>
          <w:rFonts w:ascii="Times New Roman" w:hAnsi="Times New Roman"/>
          <w:b/>
          <w:sz w:val="28"/>
        </w:rPr>
        <w:t>5.4 Summary</w:t>
      </w:r>
    </w:p>
    <w:p>
      <w:pPr>
        <w:spacing w:lineRule="auto" w:line="360" w:after="120" w:before="0"/>
        <w:jc w:val="both"/>
      </w:pPr>
      <w:r>
        <w:rPr>
          <w:rFonts w:ascii="Times New Roman" w:hAnsi="Times New Roman"/>
          <w:b w:val="0"/>
          <w:i w:val="0"/>
          <w:color w:val="000000"/>
          <w:sz w:val="24"/>
        </w:rPr>
        <w:t>The MVP meets its four objectives under test. Chapter 6 concludes and scopes future study.</w:t>
      </w:r>
    </w:p>
    <w:p>
      <w:pPr>
        <w:pStyle w:val="Heading1"/>
        <w:jc w:val="left"/>
      </w:pPr>
      <w:r>
        <w:rPr>
          <w:rFonts w:ascii="Times New Roman" w:hAnsi="Times New Roman"/>
          <w:b/>
          <w:sz w:val="28"/>
        </w:rPr>
        <w:t>Chapter 6 — Conclusion and Scope of Future Study</w:t>
      </w:r>
    </w:p>
    <w:p>
      <w:pPr>
        <w:pStyle w:val="Heading2"/>
        <w:jc w:val="left"/>
      </w:pPr>
      <w:r>
        <w:rPr>
          <w:rFonts w:ascii="Times New Roman" w:hAnsi="Times New Roman"/>
          <w:b/>
          <w:sz w:val="28"/>
        </w:rPr>
        <w:t>6.1 General</w:t>
      </w:r>
    </w:p>
    <w:p>
      <w:pPr>
        <w:spacing w:lineRule="auto" w:line="360" w:after="120" w:before="0"/>
        <w:jc w:val="both"/>
      </w:pPr>
      <w:r>
        <w:rPr>
          <w:rFonts w:ascii="Times New Roman" w:hAnsi="Times New Roman"/>
          <w:b w:val="0"/>
          <w:i w:val="0"/>
          <w:color w:val="000000"/>
          <w:sz w:val="24"/>
        </w:rPr>
        <w:t>This synopsis connected the Docker triage problem to an evidence-first copilot and showed a tested path from logs to grounded reports.</w:t>
      </w:r>
    </w:p>
    <w:p>
      <w:pPr>
        <w:pStyle w:val="Heading2"/>
        <w:jc w:val="left"/>
      </w:pPr>
      <w:r>
        <w:rPr>
          <w:rFonts w:ascii="Times New Roman" w:hAnsi="Times New Roman"/>
          <w:b/>
          <w:sz w:val="28"/>
        </w:rPr>
        <w:t>6.2 Conclusions</w:t>
      </w:r>
    </w:p>
    <w:p>
      <w:pPr>
        <w:pStyle w:val="ListBullet"/>
        <w:spacing w:lineRule="auto" w:line="360" w:after="60"/>
      </w:pPr>
      <w:r>
        <w:rPr>
          <w:rFonts w:ascii="Times New Roman" w:hAnsi="Times New Roman"/>
          <w:sz w:val="24"/>
        </w:rPr>
        <w:t>Conclusion 1: Evidence + runbook snapshots make AI RCA auditable and replayable.</w:t>
      </w:r>
    </w:p>
    <w:p>
      <w:pPr>
        <w:pStyle w:val="ListBullet"/>
        <w:spacing w:lineRule="auto" w:line="360" w:after="60"/>
      </w:pPr>
      <w:r>
        <w:rPr>
          <w:rFonts w:ascii="Times New Roman" w:hAnsi="Times New Roman"/>
          <w:sz w:val="24"/>
        </w:rPr>
        <w:t>Conclusion 2: A small LangGraph pipeline with validation and free-model fallback is sufficient for structured RCA.</w:t>
      </w:r>
    </w:p>
    <w:p>
      <w:pPr>
        <w:pStyle w:val="ListBullet"/>
        <w:spacing w:lineRule="auto" w:line="360" w:after="60"/>
      </w:pPr>
      <w:r>
        <w:rPr>
          <w:rFonts w:ascii="Times New Roman" w:hAnsi="Times New Roman"/>
          <w:sz w:val="24"/>
        </w:rPr>
        <w:t>Conclusion 3: Workbench accessibility (focus, announcements, keyboard, responsive) is a first-class correctness property, verified by tests.</w:t>
      </w:r>
    </w:p>
    <w:p>
      <w:pPr>
        <w:pStyle w:val="Heading2"/>
        <w:jc w:val="left"/>
      </w:pPr>
      <w:r>
        <w:rPr>
          <w:rFonts w:ascii="Times New Roman" w:hAnsi="Times New Roman"/>
          <w:b/>
          <w:sz w:val="28"/>
        </w:rPr>
        <w:t>6.3 Scope of Future Study</w:t>
      </w:r>
    </w:p>
    <w:p>
      <w:pPr>
        <w:pStyle w:val="ListBullet"/>
        <w:spacing w:lineRule="auto" w:line="360" w:after="60"/>
      </w:pPr>
      <w:r>
        <w:rPr>
          <w:rFonts w:ascii="Times New Roman" w:hAnsi="Times New Roman"/>
          <w:sz w:val="24"/>
        </w:rPr>
        <w:t>Live Docker Compose demo with crashme app and recorded M3.3-E walkthrough.</w:t>
      </w:r>
    </w:p>
    <w:p>
      <w:pPr>
        <w:pStyle w:val="ListBullet"/>
        <w:spacing w:lineRule="auto" w:line="360" w:after="60"/>
      </w:pPr>
      <w:r>
        <w:rPr>
          <w:rFonts w:ascii="Times New Roman" w:hAnsi="Times New Roman"/>
          <w:sz w:val="24"/>
        </w:rPr>
        <w:t>Dense retrieval (pgvector) + hybrid BM25 evaluation on real failure corpus.</w:t>
      </w:r>
    </w:p>
    <w:p>
      <w:pPr>
        <w:pStyle w:val="ListBullet"/>
        <w:spacing w:lineRule="auto" w:line="360" w:after="60"/>
      </w:pPr>
      <w:r>
        <w:rPr>
          <w:rFonts w:ascii="Times New Roman" w:hAnsi="Times New Roman"/>
          <w:sz w:val="24"/>
        </w:rPr>
        <w:t>Risk scoring calibration and approval-gated remediation actions.</w:t>
      </w:r>
    </w:p>
    <w:p>
      <w:pPr>
        <w:pStyle w:val="ListBullet"/>
        <w:spacing w:lineRule="auto" w:line="360" w:after="60"/>
      </w:pPr>
      <w:r>
        <w:rPr>
          <w:rFonts w:ascii="Times New Roman" w:hAnsi="Times New Roman"/>
          <w:sz w:val="24"/>
        </w:rPr>
        <w:t>Multi-project watching, alerting integrations and deployment packaging.</w:t>
      </w:r>
    </w:p>
    <w:p>
      <w:pPr>
        <w:pStyle w:val="Heading2"/>
        <w:jc w:val="left"/>
      </w:pPr>
      <w:r>
        <w:rPr>
          <w:rFonts w:ascii="Times New Roman" w:hAnsi="Times New Roman"/>
          <w:b/>
          <w:sz w:val="28"/>
        </w:rPr>
        <w:t>6.4 Summary</w:t>
      </w:r>
    </w:p>
    <w:p>
      <w:pPr>
        <w:spacing w:lineRule="auto" w:line="360" w:after="120" w:before="0"/>
        <w:jc w:val="both"/>
      </w:pPr>
      <w:r>
        <w:rPr>
          <w:rFonts w:ascii="Times New Roman" w:hAnsi="Times New Roman"/>
          <w:b w:val="0"/>
          <w:i w:val="0"/>
          <w:color w:val="000000"/>
          <w:sz w:val="24"/>
        </w:rPr>
        <w:t>DeployIQ demonstrates that grounded, tested AI assistance beats generic chat for DevOps triage, and it leaves clear, measurable next steps.</w:t>
      </w:r>
    </w:p>
    <w:p>
      <w:pPr>
        <w:pStyle w:val="Heading1"/>
        <w:jc w:val="left"/>
      </w:pPr>
      <w:r>
        <w:rPr>
          <w:rFonts w:ascii="Times New Roman" w:hAnsi="Times New Roman"/>
          <w:b/>
          <w:sz w:val="28"/>
        </w:rPr>
        <w:t>References</w:t>
      </w:r>
    </w:p>
    <w:p>
      <w:pPr>
        <w:pStyle w:val="ListBullet"/>
        <w:spacing w:lineRule="auto" w:line="360" w:after="60"/>
      </w:pPr>
      <w:r>
        <w:rPr>
          <w:rFonts w:ascii="Times New Roman" w:hAnsi="Times New Roman"/>
          <w:sz w:val="24"/>
        </w:rPr>
        <w:t>Lewis, P. et al. (2020). Retrieval-Augmented Generation for Knowledge-Intensive NLP Tasks. NeurIPS.</w:t>
      </w:r>
    </w:p>
    <w:p>
      <w:pPr>
        <w:pStyle w:val="ListBullet"/>
        <w:spacing w:lineRule="auto" w:line="360" w:after="60"/>
      </w:pPr>
      <w:r>
        <w:rPr>
          <w:rFonts w:ascii="Times New Roman" w:hAnsi="Times New Roman"/>
          <w:sz w:val="24"/>
        </w:rPr>
        <w:t>LangChain / LangGraph documentation: stateful agent graphs and validation patterns.</w:t>
      </w:r>
    </w:p>
    <w:p>
      <w:pPr>
        <w:pStyle w:val="ListBullet"/>
        <w:spacing w:lineRule="auto" w:line="360" w:after="60"/>
      </w:pPr>
      <w:r>
        <w:rPr>
          <w:rFonts w:ascii="Times New Roman" w:hAnsi="Times New Roman"/>
          <w:sz w:val="24"/>
        </w:rPr>
        <w:t>Docker documentation: container logs, Compose networking and Desktop usage.</w:t>
      </w:r>
    </w:p>
    <w:p>
      <w:pPr>
        <w:pStyle w:val="ListBullet"/>
        <w:spacing w:lineRule="auto" w:line="360" w:after="60"/>
      </w:pPr>
      <w:r>
        <w:rPr>
          <w:rFonts w:ascii="Times New Roman" w:hAnsi="Times New Roman"/>
          <w:sz w:val="24"/>
        </w:rPr>
        <w:t>React, Vite, TanStack Query and Playwright documentation: workbench implementation and E2E.</w:t>
      </w:r>
    </w:p>
    <w:p>
      <w:pPr>
        <w:pStyle w:val="ListBullet"/>
        <w:spacing w:lineRule="auto" w:line="360" w:after="60"/>
      </w:pPr>
      <w:r>
        <w:rPr>
          <w:rFonts w:ascii="Times New Roman" w:hAnsi="Times New Roman"/>
          <w:sz w:val="24"/>
        </w:rPr>
        <w:t>FastAPI, SQLAlchemy and Alembic documentation: API, ORM and migration workflow.</w:t>
      </w:r>
    </w:p>
    <w:p>
      <w:pPr>
        <w:pStyle w:val="ListBullet"/>
        <w:spacing w:lineRule="auto" w:line="360" w:after="60"/>
      </w:pPr>
      <w:r>
        <w:rPr>
          <w:rFonts w:ascii="Times New Roman" w:hAnsi="Times New Roman"/>
          <w:sz w:val="24"/>
        </w:rPr>
        <w:t>OpenRouter documentation: free-model routing, response formats and usage accounting.</w:t>
      </w:r>
    </w:p>
    <w:p>
      <w:pPr>
        <w:pStyle w:val="Heading1"/>
        <w:jc w:val="left"/>
      </w:pPr>
      <w:r>
        <w:rPr>
          <w:rFonts w:ascii="Times New Roman" w:hAnsi="Times New Roman"/>
          <w:b/>
          <w:sz w:val="28"/>
        </w:rPr>
        <w:t>Deliverables</w:t>
      </w:r>
    </w:p>
    <w:p>
      <w:pPr>
        <w:pStyle w:val="ListBullet"/>
        <w:spacing w:lineRule="auto" w:line="360" w:after="60"/>
      </w:pPr>
      <w:r>
        <w:rPr>
          <w:rFonts w:ascii="Times New Roman" w:hAnsi="Times New Roman"/>
          <w:sz w:val="24"/>
        </w:rPr>
        <w:t>D1: FastAPI backend with incident/investigation REST APIs and Alembic migrations 0001–0005.</w:t>
      </w:r>
    </w:p>
    <w:p>
      <w:pPr>
        <w:pStyle w:val="ListBullet"/>
        <w:spacing w:lineRule="auto" w:line="360" w:after="60"/>
      </w:pPr>
      <w:r>
        <w:rPr>
          <w:rFonts w:ascii="Times New Roman" w:hAnsi="Times New Roman"/>
          <w:sz w:val="24"/>
        </w:rPr>
        <w:t>D2: Docker watcher + evidence extractor with incident grouping and demo crashme app.</w:t>
      </w:r>
    </w:p>
    <w:p>
      <w:pPr>
        <w:pStyle w:val="ListBullet"/>
        <w:spacing w:lineRule="auto" w:line="360" w:after="60"/>
      </w:pPr>
      <w:r>
        <w:rPr>
          <w:rFonts w:ascii="Times New Roman" w:hAnsi="Times New Roman"/>
          <w:sz w:val="24"/>
        </w:rPr>
        <w:t>D3: BM25 runbook corpus with relevance scores and per-investigation snapshots.</w:t>
      </w:r>
    </w:p>
    <w:p>
      <w:pPr>
        <w:pStyle w:val="ListBullet"/>
        <w:spacing w:lineRule="auto" w:line="360" w:after="60"/>
      </w:pPr>
      <w:r>
        <w:rPr>
          <w:rFonts w:ascii="Times New Roman" w:hAnsi="Times New Roman"/>
          <w:sz w:val="24"/>
        </w:rPr>
        <w:t>D4: LangGraph RCA pipeline (evidence, RAG, root-cause, report) on OpenRouter free models.</w:t>
      </w:r>
    </w:p>
    <w:p>
      <w:pPr>
        <w:pStyle w:val="ListBullet"/>
        <w:spacing w:lineRule="auto" w:line="360" w:after="60"/>
      </w:pPr>
      <w:r>
        <w:rPr>
          <w:rFonts w:ascii="Times New Roman" w:hAnsi="Times New Roman"/>
          <w:sz w:val="24"/>
        </w:rPr>
        <w:t>D5: React incident center + investigation workbench (a11y, keyboard, responsive, E2E).</w:t>
      </w:r>
    </w:p>
    <w:p>
      <w:pPr>
        <w:pStyle w:val="ListBullet"/>
        <w:spacing w:lineRule="auto" w:line="360" w:after="60"/>
      </w:pPr>
      <w:r>
        <w:rPr>
          <w:rFonts w:ascii="Times New Roman" w:hAnsi="Times New Roman"/>
          <w:sz w:val="24"/>
        </w:rPr>
        <w:t>D6: CI pipeline (Ruff, pytest, typecheck, oxlint, Vitest, build, Playwright) + green runs.</w:t>
      </w:r>
    </w:p>
    <w:p>
      <w:pPr>
        <w:pStyle w:val="ListBullet"/>
        <w:spacing w:lineRule="auto" w:line="360" w:after="60"/>
      </w:pPr>
      <w:r>
        <w:rPr>
          <w:rFonts w:ascii="Times New Roman" w:hAnsi="Times New Roman"/>
          <w:sz w:val="24"/>
        </w:rPr>
        <w:t>D7: This synopsis and the stage PPT with methodology and data-model figures.</w:t>
      </w:r>
    </w:p>
    <w:p>
      <w:pPr>
        <w:pStyle w:val="Heading1"/>
        <w:jc w:val="left"/>
      </w:pPr>
      <w:r>
        <w:rPr>
          <w:rFonts w:ascii="Times New Roman" w:hAnsi="Times New Roman"/>
          <w:b/>
          <w:sz w:val="28"/>
        </w:rPr>
        <w:t>Acknowledgement</w:t>
      </w:r>
    </w:p>
    <w:p>
      <w:pPr>
        <w:spacing w:lineRule="auto" w:line="360" w:after="120" w:before="0"/>
        <w:jc w:val="both"/>
      </w:pPr>
      <w:r>
        <w:rPr>
          <w:rFonts w:ascii="Times New Roman" w:hAnsi="Times New Roman"/>
          <w:b w:val="0"/>
          <w:i w:val="0"/>
          <w:color w:val="000000"/>
          <w:sz w:val="24"/>
        </w:rPr>
        <w:t>After the completion of this work, words are not enough to express our feelings about all those who helped us reach our goal.</w:t>
      </w:r>
    </w:p>
    <w:p>
      <w:pPr>
        <w:spacing w:lineRule="auto" w:line="360" w:after="120" w:before="0"/>
        <w:jc w:val="both"/>
      </w:pPr>
      <w:r>
        <w:rPr>
          <w:rFonts w:ascii="Times New Roman" w:hAnsi="Times New Roman"/>
          <w:b w:val="0"/>
          <w:i w:val="0"/>
          <w:color w:val="000000"/>
          <w:sz w:val="24"/>
        </w:rPr>
        <w:t>It is a great pleasure and moment of immense satisfaction for us to express our profound gratitude to our Project Guide, Dr. Roohum Jegan, whose constant encouragement enabled us to work enthusiastically. Perpetual motivation, patience and excellent expertise in discussions during the progress of the project work have benefited us to an extent which is beyond expression. We also sincerely thank Dr. Sujata Bhairnallykar, Head of Department, and Prof. Ranjeeta Padlikar, Project Coordinator, Department of Computer Engineering, Saraswati College of Engineering, Kharghar, Navi Mumbai, for guidance, encouragement and support.</w:t>
      </w:r>
    </w:p>
    <w:p>
      <w:pPr>
        <w:spacing w:lineRule="auto" w:line="360" w:after="120" w:before="0"/>
        <w:jc w:val="both"/>
      </w:pPr>
      <w:r>
        <w:rPr>
          <w:rFonts w:ascii="Times New Roman" w:hAnsi="Times New Roman"/>
          <w:b w:val="0"/>
          <w:i w:val="0"/>
          <w:color w:val="000000"/>
          <w:sz w:val="24"/>
        </w:rPr>
        <w:t>We are thankful to Dr. Manjusha Deshmukh, Principal, Saraswati College of Engineering, Kharghar, Navi Mumbai, for providing an outstanding academic environment and adequate facilities.</w:t>
      </w:r>
    </w:p>
    <w:p>
      <w:pPr>
        <w:spacing w:lineRule="auto" w:line="360" w:after="120" w:before="0"/>
        <w:jc w:val="both"/>
      </w:pPr>
      <w:r>
        <w:rPr>
          <w:rFonts w:ascii="Times New Roman" w:hAnsi="Times New Roman"/>
          <w:b w:val="0"/>
          <w:i w:val="0"/>
          <w:color w:val="000000"/>
          <w:sz w:val="24"/>
        </w:rPr>
        <w:t>Last but not the least, we thank all staff of the Computer Engineering Department for valuable guidance and suggestions.</w:t>
      </w:r>
    </w:p>
    <w:p>
      <w:pPr>
        <w:spacing w:lineRule="auto" w:line="360" w:after="20" w:before="0"/>
        <w:jc w:val="right"/>
      </w:pPr>
      <w:r>
        <w:rPr>
          <w:rFonts w:ascii="Times New Roman" w:hAnsi="Times New Roman"/>
          <w:b w:val="0"/>
          <w:i w:val="0"/>
          <w:color w:val="000000"/>
          <w:sz w:val="24"/>
        </w:rPr>
        <w:t>Shravan Mote, 08</w:t>
      </w:r>
    </w:p>
    <w:p>
      <w:pPr>
        <w:spacing w:lineRule="auto" w:line="360" w:after="20" w:before="0"/>
        <w:jc w:val="right"/>
      </w:pPr>
      <w:r>
        <w:rPr>
          <w:rFonts w:ascii="Times New Roman" w:hAnsi="Times New Roman"/>
          <w:b w:val="0"/>
          <w:i w:val="0"/>
          <w:color w:val="000000"/>
          <w:sz w:val="24"/>
        </w:rPr>
        <w:t>Bhushan Gosavi, 37</w:t>
      </w:r>
    </w:p>
    <w:p>
      <w:pPr>
        <w:spacing w:lineRule="auto" w:line="360" w:after="20" w:before="0"/>
        <w:jc w:val="right"/>
      </w:pPr>
      <w:r>
        <w:rPr>
          <w:rFonts w:ascii="Times New Roman" w:hAnsi="Times New Roman"/>
          <w:b w:val="0"/>
          <w:i w:val="0"/>
          <w:color w:val="000000"/>
          <w:sz w:val="24"/>
        </w:rPr>
        <w:t>Vijay Barhate, 05</w:t>
      </w:r>
    </w:p>
    <w:p>
      <w:pPr>
        <w:spacing w:lineRule="auto" w:line="360" w:after="20" w:before="0"/>
        <w:jc w:val="right"/>
      </w:pPr>
      <w:r>
        <w:rPr>
          <w:rFonts w:ascii="Times New Roman" w:hAnsi="Times New Roman"/>
          <w:b w:val="0"/>
          <w:i w:val="0"/>
          <w:color w:val="000000"/>
          <w:sz w:val="24"/>
        </w:rPr>
        <w:t>Sanskar Jadhav, 50</w:t>
      </w:r>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sz w:val="20"/>
      </w:rPr>
      <w:t xml:space="preserve">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555555"/>
        <w:sz w:val="20"/>
      </w:rPr>
      <w:t>DeployIQ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before="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auto" w:line="360"/>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Rule="auto" w:line="360"/>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Rule="auto" w:line="360"/>
      <w:jc w:val="left"/>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