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Update — May</w:t>
      </w:r>
    </w:p>
    <w:p>
      <w:pPr>
        <w:pStyle w:val="Heading2"/>
      </w:pPr>
      <w:r>
        <w:t>Welcome and farewells</w:t>
      </w:r>
    </w:p>
    <w:p>
      <w:r>
        <w:t>This month we welcomed two new engineers to the platform team. We also said goodbye to our office manager, who is relocating. The team organized a farewell picnic at the lakeside park and everyone had a wonderful time.</w:t>
      </w:r>
    </w:p>
    <w:p>
      <w:pPr>
        <w:pStyle w:val="Heading2"/>
      </w:pPr>
      <w:r>
        <w:t>Social corner</w:t>
      </w:r>
    </w:p>
    <w:p>
      <w:r>
        <w:t>The football group now meets on Thursdays. The book club picked a new novel for June and the baking competition was won by the QA team with a spectacular lemon cake.</w:t>
      </w:r>
    </w:p>
    <w:p>
      <w:pPr>
        <w:pStyle w:val="Heading2"/>
      </w:pPr>
      <w:r>
        <w:t>One engineering note</w:t>
      </w:r>
    </w:p>
    <w:p>
      <w:r>
        <w:t>The build pipeline upgrade to the new CI runners finished this month, cutting average build time from 14 minutes to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