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widowControl/>
      </w:pPr>
      <w:r>
        <w:t>SOURCE VISION  |  BLUE VIRTUE x NEXUSLINK</w:t>
      </w:r>
    </w:p>
    <w:p>
      <w:pPr>
        <w:widowControl/>
        <w:spacing w:after="80"/>
      </w:pPr>
      <w:r>
        <w:rPr>
          <w:rFonts w:ascii="Arial" w:hAnsi="Arial"/>
          <w:b/>
          <w:color w:val="152F44"/>
          <w:sz w:val="48"/>
        </w:rPr>
        <w:t>Scope Review &amp; Alignment Notes</w:t>
      </w:r>
    </w:p>
    <w:p>
      <w:pPr>
        <w:widowControl/>
        <w:spacing w:after="160"/>
      </w:pPr>
      <w:r>
        <w:rPr>
          <w:rFonts w:ascii="Arial" w:hAnsi="Arial"/>
          <w:color w:val="606B72"/>
          <w:sz w:val="21"/>
        </w:rPr>
        <w:t>Response to: Phase 1 - MVP Demo Module List and Phase 1 &amp; Phase 2 Module Overview</w:t>
      </w:r>
    </w:p>
    <w:tbl>
      <w:tblPr>
        <w:tblW w:type="auto" w:w="0"/>
        <w:jc w:val="left"/>
        <w:tblLayout w:type="fixed"/>
        <w:tblLook w:firstColumn="1" w:firstRow="1" w:lastColumn="0" w:lastRow="0" w:noHBand="0" w:noVBand="1" w:val="04A0"/>
      </w:tblPr>
      <w:tblGrid>
        <w:gridCol w:w="3168"/>
        <w:gridCol w:w="3384"/>
        <w:gridCol w:w="3384"/>
      </w:tblGrid>
      <w:tr>
        <w:tc>
          <w:tcPr>
            <w:tcW w:type="dxa" w:w="3408"/>
            <w:shd w:fill="F5F7F8"/>
            <w:tcMar>
              <w:top w:w="90" w:type="dxa"/>
              <w:start w:w="130" w:type="dxa"/>
              <w:bottom w:w="90" w:type="dxa"/>
              <w:end w:w="130" w:type="dxa"/>
            </w:tcMar>
            <w:vAlign w:val="center"/>
          </w:tcPr>
          <w:p>
            <w:pPr>
              <w:spacing w:after="20"/>
            </w:pPr>
            <w:r>
              <w:rPr>
                <w:rFonts w:ascii="Arial" w:hAnsi="Arial"/>
                <w:b/>
                <w:color w:val="606B72"/>
                <w:sz w:val="15"/>
              </w:rPr>
              <w:t>PREPARED BY</w:t>
              <w:br/>
            </w:r>
            <w:r>
              <w:rPr>
                <w:rFonts w:ascii="Arial" w:hAnsi="Arial"/>
                <w:b/>
                <w:color w:val="152F44"/>
                <w:sz w:val="18"/>
              </w:rPr>
              <w:t>Blue Virtue</w:t>
            </w:r>
          </w:p>
        </w:tc>
        <w:tc>
          <w:tcPr>
            <w:tcW w:type="dxa" w:w="3408"/>
            <w:shd w:fill="F5F7F8"/>
            <w:tcMar>
              <w:top w:w="90" w:type="dxa"/>
              <w:start w:w="130" w:type="dxa"/>
              <w:bottom w:w="90" w:type="dxa"/>
              <w:end w:w="130" w:type="dxa"/>
            </w:tcMar>
            <w:vAlign w:val="center"/>
          </w:tcPr>
          <w:p>
            <w:pPr>
              <w:spacing w:after="20"/>
            </w:pPr>
            <w:r>
              <w:rPr>
                <w:rFonts w:ascii="Arial" w:hAnsi="Arial"/>
                <w:b/>
                <w:color w:val="606B72"/>
                <w:sz w:val="15"/>
              </w:rPr>
              <w:t>FOR</w:t>
              <w:br/>
            </w:r>
            <w:r>
              <w:rPr>
                <w:rFonts w:ascii="Arial" w:hAnsi="Arial"/>
                <w:b/>
                <w:color w:val="152F44"/>
                <w:sz w:val="18"/>
              </w:rPr>
              <w:t>Vijay Dabhi / NexusLink</w:t>
            </w:r>
          </w:p>
        </w:tc>
        <w:tc>
          <w:tcPr>
            <w:tcW w:type="dxa" w:w="3408"/>
            <w:shd w:fill="F5F7F8"/>
            <w:tcMar>
              <w:top w:w="90" w:type="dxa"/>
              <w:start w:w="130" w:type="dxa"/>
              <w:bottom w:w="90" w:type="dxa"/>
              <w:end w:w="130" w:type="dxa"/>
            </w:tcMar>
            <w:vAlign w:val="center"/>
          </w:tcPr>
          <w:p>
            <w:pPr>
              <w:spacing w:after="20"/>
            </w:pPr>
            <w:r>
              <w:rPr>
                <w:rFonts w:ascii="Arial" w:hAnsi="Arial"/>
                <w:b/>
                <w:color w:val="606B72"/>
                <w:sz w:val="15"/>
              </w:rPr>
              <w:t>DATE</w:t>
              <w:br/>
            </w:r>
            <w:r>
              <w:rPr>
                <w:rFonts w:ascii="Arial" w:hAnsi="Arial"/>
                <w:b/>
                <w:color w:val="152F44"/>
                <w:sz w:val="18"/>
              </w:rPr>
              <w:t>31 August 2026</w:t>
            </w:r>
          </w:p>
        </w:tc>
      </w:tr>
    </w:tbl>
    <w:p>
      <w:pPr>
        <w:pStyle w:val="Heading1"/>
        <w:widowControl/>
      </w:pPr>
      <w:r>
        <w:t>1. Executive alignment</w:t>
      </w:r>
    </w:p>
    <w:tbl>
      <w:tblPr>
        <w:tblW w:type="auto" w:w="0"/>
        <w:jc w:val="left"/>
        <w:tblLook w:firstColumn="1" w:firstRow="1" w:lastColumn="0" w:lastRow="0" w:noHBand="0" w:noVBand="1" w:val="04A0"/>
      </w:tblPr>
      <w:tblGrid>
        <w:gridCol w:w="10224"/>
      </w:tblGrid>
      <w:tr>
        <w:tc>
          <w:tcPr>
            <w:tcW w:type="dxa" w:w="10224"/>
            <w:shd w:fill="EAF3F8"/>
            <w:tcMar>
              <w:top w:w="130" w:type="dxa"/>
              <w:start w:w="150" w:type="dxa"/>
              <w:bottom w:w="130" w:type="dxa"/>
              <w:end w:w="150" w:type="dxa"/>
            </w:tcMar>
          </w:tcPr>
          <w:p>
            <w:pPr>
              <w:spacing w:after="0"/>
            </w:pPr>
            <w:r>
              <w:rPr>
                <w:rFonts w:ascii="Arial" w:hAnsi="Arial"/>
                <w:b/>
                <w:color w:val="2D3439"/>
                <w:sz w:val="19"/>
              </w:rPr>
              <w:t xml:space="preserve">Phase 1 direction is approved, </w:t>
            </w:r>
            <w:r>
              <w:rPr>
                <w:rFonts w:ascii="Arial" w:hAnsi="Arial"/>
                <w:b w:val="0"/>
                <w:color w:val="2D3439"/>
                <w:sz w:val="19"/>
              </w:rPr>
              <w:t xml:space="preserve">subject to final prioritisation of the September demo storyline. </w:t>
            </w:r>
            <w:r>
              <w:rPr>
                <w:rFonts w:ascii="Arial" w:hAnsi="Arial"/>
                <w:b/>
                <w:color w:val="2D3439"/>
                <w:sz w:val="19"/>
              </w:rPr>
              <w:t xml:space="preserve">Phase 2 is accepted as a working module framework only, </w:t>
            </w:r>
            <w:r>
              <w:rPr>
                <w:rFonts w:ascii="Arial" w:hAnsi="Arial"/>
                <w:b w:val="0"/>
                <w:color w:val="2D3439"/>
                <w:sz w:val="19"/>
              </w:rPr>
              <w:t>not as an approved development scope, quotation or commitment to build all listed modules.</w:t>
            </w:r>
          </w:p>
        </w:tc>
      </w:tr>
    </w:tbl>
    <w:p>
      <w:pPr>
        <w:widowControl/>
      </w:pPr>
      <w:r>
        <w:t xml:space="preserve">The overall direction is strong and consistent with our current principle: </w:t>
      </w:r>
      <w:r>
        <w:rPr>
          <w:rFonts w:ascii="Arial" w:hAnsi="Arial"/>
          <w:b/>
          <w:color w:val="152F44"/>
        </w:rPr>
        <w:t>Demo first. Product later.</w:t>
      </w:r>
      <w:r>
        <w:t xml:space="preserve"> The MVP should make the commercial value of Source Vision immediately understandable without overbuilding production functionality before buyer/partner validation.</w:t>
      </w:r>
    </w:p>
    <w:p>
      <w:pPr>
        <w:pStyle w:val="Heading2"/>
        <w:widowControl/>
      </w:pPr>
      <w:r>
        <w:t>Current project boundaries</w:t>
      </w:r>
    </w:p>
    <w:p>
      <w:pPr>
        <w:pStyle w:val="ListBullet"/>
        <w:widowControl/>
        <w:spacing w:after="60"/>
      </w:pPr>
      <w:r>
        <w:t>Source Vision is being prepared as a white-label marketing operations platform and business asset proposition.</w:t>
      </w:r>
    </w:p>
    <w:p>
      <w:pPr>
        <w:pStyle w:val="ListBullet"/>
        <w:widowControl/>
        <w:spacing w:after="60"/>
      </w:pPr>
      <w:r>
        <w:t>The Phase 1 demo must use dummy/sample data only. Existing GRS customers, customer data and consumer data are not part of the MVP or current asset proposition.</w:t>
      </w:r>
    </w:p>
    <w:p>
      <w:pPr>
        <w:pStyle w:val="ListBullet"/>
        <w:widowControl/>
        <w:spacing w:after="60"/>
      </w:pPr>
      <w:r>
        <w:t>IP, ownership and the possible future role of GRS Retail remain under discussion. Any use or transfer of existing GRS-related technology is therefore subject to clarification and final agreement.</w:t>
      </w:r>
    </w:p>
    <w:p>
      <w:pPr>
        <w:pStyle w:val="ListBullet"/>
        <w:widowControl/>
        <w:spacing w:after="60"/>
      </w:pPr>
      <w:r>
        <w:t>Blue Virtue currently leads strategy, commercial positioning, design direction, UX structure and demo storyline; NexusLink leads technical implementation and feasibility.</w:t>
      </w:r>
    </w:p>
    <w:p>
      <w:pPr>
        <w:pStyle w:val="Heading1"/>
        <w:widowControl/>
      </w:pPr>
      <w:r>
        <w:t>2. Phase 1 - requested refinements</w:t>
      </w:r>
    </w:p>
    <w:p>
      <w:pPr>
        <w:pStyle w:val="Heading2"/>
        <w:widowControl/>
      </w:pPr>
      <w:r>
        <w:t>2.1 Prioritise the buyer demo story, not the number of screens</w:t>
      </w:r>
    </w:p>
    <w:p>
      <w:pPr>
        <w:widowControl/>
      </w:pPr>
      <w:r>
        <w:t>The 24-screen structure is a useful scope reference. For the September demo, however, the primary success criterion should be whether a buyer understands the full commercial loop in approximately 10 minutes: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52F44"/>
            <w:tcMar>
              <w:top w:w="100" w:type="dxa"/>
              <w:start w:w="65" w:type="dxa"/>
              <w:bottom w:w="100" w:type="dxa"/>
              <w:end w:w="65" w:type="dxa"/>
            </w:tcMar>
            <w:vAlign w:val="center"/>
          </w:tcPr>
          <w:p>
            <w:pPr>
              <w:spacing w:after="0"/>
              <w:jc w:val="center"/>
            </w:pPr>
            <w:r>
              <w:rPr>
                <w:rFonts w:ascii="Arial" w:hAnsi="Arial"/>
                <w:b/>
                <w:color w:val="FFFFFF"/>
                <w:sz w:val="15"/>
              </w:rPr>
              <w:t>Login</w:t>
            </w:r>
          </w:p>
        </w:tc>
        <w:tc>
          <w:tcPr>
            <w:tcW w:type="dxa" w:w="1278"/>
            <w:shd w:fill="EDF2F5"/>
            <w:tcMar>
              <w:top w:w="100" w:type="dxa"/>
              <w:start w:w="65" w:type="dxa"/>
              <w:bottom w:w="100" w:type="dxa"/>
              <w:end w:w="65" w:type="dxa"/>
            </w:tcMar>
            <w:vAlign w:val="center"/>
          </w:tcPr>
          <w:p>
            <w:pPr>
              <w:spacing w:after="0"/>
              <w:jc w:val="center"/>
            </w:pPr>
            <w:r>
              <w:rPr>
                <w:rFonts w:ascii="Arial" w:hAnsi="Arial"/>
                <w:b/>
                <w:color w:val="152F44"/>
                <w:sz w:val="15"/>
              </w:rPr>
              <w:t>Customer</w:t>
            </w:r>
          </w:p>
        </w:tc>
        <w:tc>
          <w:tcPr>
            <w:tcW w:type="dxa" w:w="1278"/>
            <w:shd w:fill="EDF2F5"/>
            <w:tcMar>
              <w:top w:w="100" w:type="dxa"/>
              <w:start w:w="65" w:type="dxa"/>
              <w:bottom w:w="100" w:type="dxa"/>
              <w:end w:w="65" w:type="dxa"/>
            </w:tcMar>
            <w:vAlign w:val="center"/>
          </w:tcPr>
          <w:p>
            <w:pPr>
              <w:spacing w:after="0"/>
              <w:jc w:val="center"/>
            </w:pPr>
            <w:r>
              <w:rPr>
                <w:rFonts w:ascii="Arial" w:hAnsi="Arial"/>
                <w:b/>
                <w:color w:val="152F44"/>
                <w:sz w:val="15"/>
              </w:rPr>
              <w:t>Services / Plans</w:t>
            </w:r>
          </w:p>
        </w:tc>
        <w:tc>
          <w:tcPr>
            <w:tcW w:type="dxa" w:w="1278"/>
            <w:shd w:fill="EDF2F5"/>
            <w:tcMar>
              <w:top w:w="100" w:type="dxa"/>
              <w:start w:w="65" w:type="dxa"/>
              <w:bottom w:w="100" w:type="dxa"/>
              <w:end w:w="65" w:type="dxa"/>
            </w:tcMar>
            <w:vAlign w:val="center"/>
          </w:tcPr>
          <w:p>
            <w:pPr>
              <w:spacing w:after="0"/>
              <w:jc w:val="center"/>
            </w:pPr>
            <w:r>
              <w:rPr>
                <w:rFonts w:ascii="Arial" w:hAnsi="Arial"/>
                <w:b/>
                <w:color w:val="152F44"/>
                <w:sz w:val="15"/>
              </w:rPr>
              <w:t>Request</w:t>
            </w:r>
          </w:p>
        </w:tc>
        <w:tc>
          <w:tcPr>
            <w:tcW w:type="dxa" w:w="1278"/>
            <w:shd w:fill="EDF2F5"/>
            <w:tcMar>
              <w:top w:w="100" w:type="dxa"/>
              <w:start w:w="65" w:type="dxa"/>
              <w:bottom w:w="100" w:type="dxa"/>
              <w:end w:w="65" w:type="dxa"/>
            </w:tcMar>
            <w:vAlign w:val="center"/>
          </w:tcPr>
          <w:p>
            <w:pPr>
              <w:spacing w:after="0"/>
              <w:jc w:val="center"/>
            </w:pPr>
            <w:r>
              <w:rPr>
                <w:rFonts w:ascii="Arial" w:hAnsi="Arial"/>
                <w:b/>
                <w:color w:val="152F44"/>
                <w:sz w:val="15"/>
              </w:rPr>
              <w:t>Campaign / Lead Gen</w:t>
            </w:r>
          </w:p>
        </w:tc>
        <w:tc>
          <w:tcPr>
            <w:tcW w:type="dxa" w:w="1278"/>
            <w:shd w:fill="EDF2F5"/>
            <w:tcMar>
              <w:top w:w="100" w:type="dxa"/>
              <w:start w:w="65" w:type="dxa"/>
              <w:bottom w:w="100" w:type="dxa"/>
              <w:end w:w="65" w:type="dxa"/>
            </w:tcMar>
            <w:vAlign w:val="center"/>
          </w:tcPr>
          <w:p>
            <w:pPr>
              <w:spacing w:after="0"/>
              <w:jc w:val="center"/>
            </w:pPr>
            <w:r>
              <w:rPr>
                <w:rFonts w:ascii="Arial" w:hAnsi="Arial"/>
                <w:b/>
                <w:color w:val="152F44"/>
                <w:sz w:val="15"/>
              </w:rPr>
              <w:t>Results</w:t>
            </w:r>
          </w:p>
        </w:tc>
        <w:tc>
          <w:tcPr>
            <w:tcW w:type="dxa" w:w="1278"/>
            <w:shd w:fill="EDF2F5"/>
            <w:tcMar>
              <w:top w:w="100" w:type="dxa"/>
              <w:start w:w="65" w:type="dxa"/>
              <w:bottom w:w="100" w:type="dxa"/>
              <w:end w:w="65" w:type="dxa"/>
            </w:tcMar>
            <w:vAlign w:val="center"/>
          </w:tcPr>
          <w:p>
            <w:pPr>
              <w:spacing w:after="0"/>
              <w:jc w:val="center"/>
            </w:pPr>
            <w:r>
              <w:rPr>
                <w:rFonts w:ascii="Arial" w:hAnsi="Arial"/>
                <w:b/>
                <w:color w:val="152F44"/>
                <w:sz w:val="15"/>
              </w:rPr>
              <w:t>Admin</w:t>
            </w:r>
          </w:p>
        </w:tc>
        <w:tc>
          <w:tcPr>
            <w:tcW w:type="dxa" w:w="1278"/>
            <w:shd w:fill="152F44"/>
            <w:tcMar>
              <w:top w:w="100" w:type="dxa"/>
              <w:start w:w="65" w:type="dxa"/>
              <w:bottom w:w="100" w:type="dxa"/>
              <w:end w:w="65" w:type="dxa"/>
            </w:tcMar>
            <w:vAlign w:val="center"/>
          </w:tcPr>
          <w:p>
            <w:pPr>
              <w:spacing w:after="0"/>
              <w:jc w:val="center"/>
            </w:pPr>
            <w:r>
              <w:rPr>
                <w:rFonts w:ascii="Arial" w:hAnsi="Arial"/>
                <w:b/>
                <w:color w:val="FFFFFF"/>
                <w:sz w:val="15"/>
              </w:rPr>
              <w:t>White-label</w:t>
            </w:r>
          </w:p>
        </w:tc>
      </w:tr>
    </w:tbl>
    <w:p>
      <w:pPr>
        <w:widowControl/>
        <w:spacing w:before="100"/>
      </w:pPr>
      <w:r>
        <w:rPr>
          <w:b/>
        </w:rPr>
        <w:t xml:space="preserve">Recommended change: </w:t>
      </w:r>
      <w:r>
        <w:t>move or represent Campaign Request Flow, Scratch Game / Lead Generation and Campaign Reporting in Wave 1, even if only at demo depth. These elements explain how a buyer can sell services, generate leads and demonstrate measurable results. The Public Homepage can remain, but is commercially less important than completing this end-to-end story.</w:t>
      </w:r>
    </w:p>
    <w:p>
      <w:pPr>
        <w:pStyle w:val="Heading2"/>
        <w:widowControl/>
      </w:pPr>
      <w:r>
        <w:t>2.2 Role naming</w:t>
      </w:r>
    </w:p>
    <w:p>
      <w:pPr>
        <w:widowControl/>
      </w:pPr>
      <w:r>
        <w:t xml:space="preserve">Replace “Developer view” with a more buyer-oriented label such as </w:t>
      </w:r>
      <w:r>
        <w:rPr>
          <w:rFonts w:ascii="Arial" w:hAnsi="Arial"/>
          <w:b/>
          <w:color w:val="152F44"/>
        </w:rPr>
        <w:t>Platform Owner / Settings</w:t>
      </w:r>
      <w:r>
        <w:t>. The three demo areas should read naturally as Customer Portal, Admin Portal and Platform Settings.</w:t>
      </w:r>
    </w:p>
    <w:p>
      <w:pPr>
        <w:pStyle w:val="Heading2"/>
        <w:widowControl/>
      </w:pPr>
      <w:r>
        <w:t>2.3 Packages, plans and pricing</w:t>
      </w:r>
    </w:p>
    <w:p>
      <w:pPr>
        <w:widowControl/>
      </w:pPr>
      <w:r>
        <w:t xml:space="preserve">The service packages and plans shown in Phase 1 should be treated as </w:t>
      </w:r>
      <w:r>
        <w:rPr>
          <w:rFonts w:ascii="Arial" w:hAnsi="Arial"/>
          <w:b/>
          <w:color w:val="152F44"/>
        </w:rPr>
        <w:t>example monetisation models</w:t>
      </w:r>
      <w:r>
        <w:t>, not fixed Source Vision commercial terms. Pricing, plan names, service combinations and availability should ultimately be configurable by the platform owner.</w:t>
      </w:r>
    </w:p>
    <w:p>
      <w:pPr>
        <w:widowControl/>
      </w:pPr>
      <w:r>
        <w:br w:type="page"/>
      </w:r>
    </w:p>
    <w:p>
      <w:pPr>
        <w:pStyle w:val="Heading1"/>
        <w:keepNext/>
        <w:widowControl/>
        <w:spacing w:after="160"/>
      </w:pPr>
      <w:r>
        <w:t>3. Phase 2 - changes before scope approval</w:t>
      </w:r>
    </w:p>
    <w:tbl>
      <w:tblPr>
        <w:tblStyle w:val="TableGrid"/>
        <w:tblW w:type="dxa" w:w="10224"/>
        <w:jc w:val="center"/>
        <w:tblLayout w:type="fixed"/>
        <w:tblLook w:firstColumn="1" w:firstRow="1" w:lastColumn="0" w:lastRow="0" w:noHBand="0" w:noVBand="1" w:val="04A0"/>
      </w:tblPr>
      <w:tblGrid>
        <w:gridCol w:w="3096"/>
        <w:gridCol w:w="7128"/>
      </w:tblGrid>
      <w:tr>
        <w:trPr>
          <w:tblHeader w:val="true"/>
          <w:cantSplit/>
        </w:trPr>
        <w:tc>
          <w:tcPr>
            <w:tcW w:type="dxa" w:w="3096"/>
            <w:vAlign w:val="center"/>
            <w:shd w:fill="17354D" w:val="clear"/>
            <w:tcMar>
              <w:top w:w="95" w:type="dxa"/>
              <w:start w:w="110" w:type="dxa"/>
              <w:bottom w:w="95" w:type="dxa"/>
              <w:end w:w="110" w:type="dxa"/>
            </w:tcMar>
            <w:tcBorders>
              <w:top w:val="single" w:sz="6" w:color="17354D"/>
              <w:left w:val="single" w:sz="6" w:color="17354D"/>
              <w:bottom w:val="single" w:sz="6" w:color="17354D"/>
              <w:right w:val="single" w:sz="6" w:color="17354D"/>
              <w:insideH w:val="single" w:sz="6" w:color="17354D"/>
              <w:insideV w:val="single" w:sz="6" w:color="17354D"/>
            </w:tcBorders>
          </w:tcPr>
          <w:p>
            <w:pPr>
              <w:spacing w:before="0" w:after="0"/>
              <w:jc w:val="left"/>
            </w:pPr>
            <w:r>
              <w:rPr>
                <w:rFonts w:ascii="Arial" w:hAnsi="Arial"/>
                <w:b/>
                <w:color w:val="FFFFFF"/>
                <w:sz w:val="18"/>
              </w:rPr>
              <w:t>MODULE / STATUS</w:t>
            </w:r>
          </w:p>
        </w:tc>
        <w:tc>
          <w:tcPr>
            <w:tcW w:type="dxa" w:w="7128"/>
            <w:vAlign w:val="center"/>
            <w:shd w:fill="17354D" w:val="clear"/>
            <w:tcMar>
              <w:top w:w="95" w:type="dxa"/>
              <w:start w:w="110" w:type="dxa"/>
              <w:bottom w:w="95" w:type="dxa"/>
              <w:end w:w="110" w:type="dxa"/>
            </w:tcMar>
            <w:tcBorders>
              <w:top w:val="single" w:sz="6" w:color="17354D"/>
              <w:left w:val="single" w:sz="6" w:color="17354D"/>
              <w:bottom w:val="single" w:sz="6" w:color="17354D"/>
              <w:right w:val="single" w:sz="6" w:color="17354D"/>
              <w:insideH w:val="single" w:sz="6" w:color="17354D"/>
              <w:insideV w:val="single" w:sz="6" w:color="17354D"/>
            </w:tcBorders>
          </w:tcPr>
          <w:p>
            <w:pPr>
              <w:spacing w:before="0" w:after="0"/>
              <w:jc w:val="left"/>
            </w:pPr>
            <w:r>
              <w:rPr>
                <w:rFonts w:ascii="Arial" w:hAnsi="Arial"/>
                <w:b/>
                <w:color w:val="FFFFFF"/>
                <w:sz w:val="18"/>
              </w:rPr>
              <w:t>BLUE VIRTUE FEEDBACK</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CE8E8" w:val="clear"/>
          </w:tcPr>
          <w:p>
            <w:pPr>
              <w:spacing w:after="60" w:line="252" w:lineRule="auto"/>
              <w:jc w:val="left"/>
            </w:pPr>
            <w:r>
              <w:rPr>
                <w:rFonts w:ascii="Arial" w:hAnsi="Arial"/>
                <w:b/>
                <w:color w:val="17354D"/>
                <w:sz w:val="18"/>
              </w:rPr>
              <w:t>Data Migration from GRS</w:t>
            </w:r>
          </w:p>
          <w:p>
            <w:pPr>
              <w:spacing w:before="0" w:after="0"/>
              <w:jc w:val="left"/>
            </w:pPr>
            <w:r>
              <w:rPr>
                <w:rFonts w:ascii="Arial" w:hAnsi="Arial"/>
                <w:b/>
                <w:color w:val="9C2F2F"/>
                <w:sz w:val="15"/>
              </w:rPr>
              <w:t>CHANGE REQUIRED</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Replace with “Generic Data Import &amp; Migration Tools”. No migration of GRS lists, templates, customer data or consumer data should be assumed. Any GRS-specific migration would require separate legal and commercial approval.</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3D6" w:val="clear"/>
          </w:tcPr>
          <w:p>
            <w:pPr>
              <w:spacing w:after="60" w:line="252" w:lineRule="auto"/>
              <w:jc w:val="left"/>
            </w:pPr>
            <w:r>
              <w:rPr>
                <w:rFonts w:ascii="Arial" w:hAnsi="Arial"/>
                <w:b/>
                <w:color w:val="17354D"/>
                <w:sz w:val="18"/>
              </w:rPr>
              <w:t>Reporting &amp; Analytics</w:t>
            </w:r>
          </w:p>
          <w:p>
            <w:pPr>
              <w:spacing w:before="0" w:after="0"/>
              <w:jc w:val="left"/>
            </w:pPr>
            <w:r>
              <w:rPr>
                <w:rFonts w:ascii="Arial" w:hAnsi="Arial"/>
                <w:b/>
                <w:color w:val="8C5A00"/>
                <w:sz w:val="15"/>
              </w:rPr>
              <w:t>REFINE</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Keep as a reporting layer, but do not assume NexusLink must build the full analytics engine. Blue Virtue has access to existing dashboard technology through its network; we should first assess whether integration or reuse is preferable.</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3D6" w:val="clear"/>
          </w:tcPr>
          <w:p>
            <w:pPr>
              <w:spacing w:after="60" w:line="252" w:lineRule="auto"/>
              <w:jc w:val="left"/>
            </w:pPr>
            <w:r>
              <w:rPr>
                <w:rFonts w:ascii="Arial" w:hAnsi="Arial"/>
                <w:b/>
                <w:color w:val="17354D"/>
                <w:sz w:val="18"/>
              </w:rPr>
              <w:t>Phase 2 positioning</w:t>
            </w:r>
          </w:p>
          <w:p>
            <w:pPr>
              <w:spacing w:before="0" w:after="0"/>
              <w:jc w:val="left"/>
            </w:pPr>
            <w:r>
              <w:rPr>
                <w:rFonts w:ascii="Arial" w:hAnsi="Arial"/>
                <w:b/>
                <w:color w:val="8C5A00"/>
                <w:sz w:val="15"/>
              </w:rPr>
              <w:t>REFINE</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Present Phase 2 as “Proposed Full Platform / Future Product Architecture”, not as a committed build. Module-level estimates should follow only after scope approval.</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3D6" w:val="clear"/>
          </w:tcPr>
          <w:p>
            <w:pPr>
              <w:spacing w:after="60" w:line="252" w:lineRule="auto"/>
              <w:jc w:val="left"/>
            </w:pPr>
            <w:r>
              <w:rPr>
                <w:rFonts w:ascii="Arial" w:hAnsi="Arial"/>
                <w:b/>
                <w:color w:val="17354D"/>
                <w:sz w:val="18"/>
              </w:rPr>
              <w:t>Laravel + Vue</w:t>
            </w:r>
          </w:p>
          <w:p>
            <w:pPr>
              <w:spacing w:before="0" w:after="0"/>
              <w:jc w:val="left"/>
            </w:pPr>
            <w:r>
              <w:rPr>
                <w:rFonts w:ascii="Arial" w:hAnsi="Arial"/>
                <w:b/>
                <w:color w:val="8C5A00"/>
                <w:sz w:val="15"/>
              </w:rPr>
              <w:t>REFINE</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Accept as NexusLink's proposed stack, subject to final technical architecture approval, portability, documentation and transferability requirements.</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EEF2F5" w:val="clear"/>
          </w:tcPr>
          <w:p>
            <w:pPr>
              <w:spacing w:after="60" w:line="252" w:lineRule="auto"/>
              <w:jc w:val="left"/>
            </w:pPr>
            <w:r>
              <w:rPr>
                <w:rFonts w:ascii="Arial" w:hAnsi="Arial"/>
                <w:b/>
                <w:color w:val="17354D"/>
                <w:sz w:val="18"/>
              </w:rPr>
              <w:t>AI Campaign Assistant</w:t>
            </w:r>
          </w:p>
          <w:p>
            <w:pPr>
              <w:spacing w:before="0" w:after="0"/>
              <w:jc w:val="left"/>
            </w:pPr>
            <w:r>
              <w:rPr>
                <w:rFonts w:ascii="Arial" w:hAnsi="Arial"/>
                <w:b/>
                <w:color w:val="4C5A67"/>
                <w:sz w:val="15"/>
              </w:rPr>
              <w:t>ROADMAP</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Keep as an optional future module. It is commercially useful but not a core requirement for the validated product foundation.</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EEF2F5" w:val="clear"/>
          </w:tcPr>
          <w:p>
            <w:pPr>
              <w:spacing w:after="60" w:line="252" w:lineRule="auto"/>
              <w:jc w:val="left"/>
            </w:pPr>
            <w:r>
              <w:rPr>
                <w:rFonts w:ascii="Arial" w:hAnsi="Arial"/>
                <w:b/>
                <w:color w:val="17354D"/>
                <w:sz w:val="18"/>
              </w:rPr>
              <w:t>Print Portal</w:t>
            </w:r>
          </w:p>
          <w:p>
            <w:pPr>
              <w:spacing w:before="0" w:after="0"/>
              <w:jc w:val="left"/>
            </w:pPr>
            <w:r>
              <w:rPr>
                <w:rFonts w:ascii="Arial" w:hAnsi="Arial"/>
                <w:b/>
                <w:color w:val="4C5A67"/>
                <w:sz w:val="15"/>
              </w:rPr>
              <w:t>ROADMAP</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Move out of core Phase 2 scope. Print / Print.com should remain a roadmap or optional integration unless explicitly approved later.</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3D6" w:val="clear"/>
          </w:tcPr>
          <w:p>
            <w:pPr>
              <w:spacing w:after="60" w:line="252" w:lineRule="auto"/>
              <w:jc w:val="left"/>
            </w:pPr>
            <w:r>
              <w:rPr>
                <w:rFonts w:ascii="Arial" w:hAnsi="Arial"/>
                <w:b/>
                <w:color w:val="17354D"/>
                <w:sz w:val="18"/>
              </w:rPr>
              <w:t>Integrations Layer</w:t>
            </w:r>
          </w:p>
          <w:p>
            <w:pPr>
              <w:spacing w:before="0" w:after="0"/>
              <w:jc w:val="left"/>
            </w:pPr>
            <w:r>
              <w:rPr>
                <w:rFonts w:ascii="Arial" w:hAnsi="Arial"/>
                <w:b/>
                <w:color w:val="8C5A00"/>
                <w:sz w:val="15"/>
              </w:rPr>
              <w:t>SPLIT</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Separate core integrations, optional third-party integrations and the API framework. Advertising, analytics, CRM, print and payments are not one implementation effort.</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3D6" w:val="clear"/>
          </w:tcPr>
          <w:p>
            <w:pPr>
              <w:spacing w:after="60" w:line="252" w:lineRule="auto"/>
              <w:jc w:val="left"/>
            </w:pPr>
            <w:r>
              <w:rPr>
                <w:rFonts w:ascii="Arial" w:hAnsi="Arial"/>
                <w:b/>
                <w:color w:val="17354D"/>
                <w:sz w:val="18"/>
              </w:rPr>
              <w:t>Content Library / folders</w:t>
            </w:r>
          </w:p>
          <w:p>
            <w:pPr>
              <w:spacing w:before="0" w:after="0"/>
              <w:jc w:val="left"/>
            </w:pPr>
            <w:r>
              <w:rPr>
                <w:rFonts w:ascii="Arial" w:hAnsi="Arial"/>
                <w:b/>
                <w:color w:val="8C5A00"/>
                <w:sz w:val="15"/>
              </w:rPr>
              <w:t>CLARIFY</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Simple asset organisation is acceptable. The legacy GRS folder module is explicitly excluded from the Source Vision core proposition.</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E6F3ED" w:val="clear"/>
          </w:tcPr>
          <w:p>
            <w:pPr>
              <w:spacing w:after="60" w:line="252" w:lineRule="auto"/>
              <w:jc w:val="left"/>
            </w:pPr>
            <w:r>
              <w:rPr>
                <w:rFonts w:ascii="Arial" w:hAnsi="Arial"/>
                <w:b/>
                <w:color w:val="17354D"/>
                <w:sz w:val="18"/>
              </w:rPr>
              <w:t>Multi-tenancy / White-label</w:t>
            </w:r>
          </w:p>
          <w:p>
            <w:pPr>
              <w:spacing w:before="0" w:after="0"/>
              <w:jc w:val="left"/>
            </w:pPr>
            <w:r>
              <w:rPr>
                <w:rFonts w:ascii="Arial" w:hAnsi="Arial"/>
                <w:b/>
                <w:color w:val="246B49"/>
                <w:sz w:val="15"/>
              </w:rPr>
              <w:t>PRIORITY</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Treat this as a strategic foundation: shared maintainable codebase, tenant separation, custom domains, branding, roles and data separation.</w:t>
            </w:r>
          </w:p>
        </w:tc>
      </w:tr>
      <w:tr>
        <w:trPr>
          <w:cantSplit/>
        </w:trPr>
        <w:tc>
          <w:tcPr>
            <w:tcW w:type="dxa" w:w="3096"/>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EEF2F5" w:val="clear"/>
          </w:tcPr>
          <w:p>
            <w:pPr>
              <w:spacing w:after="60" w:line="252" w:lineRule="auto"/>
              <w:jc w:val="left"/>
            </w:pPr>
            <w:r>
              <w:rPr>
                <w:rFonts w:ascii="Arial" w:hAnsi="Arial"/>
                <w:b/>
                <w:color w:val="17354D"/>
                <w:sz w:val="18"/>
              </w:rPr>
              <w:t>Email &amp; Newsletter Engine</w:t>
            </w:r>
          </w:p>
          <w:p>
            <w:pPr>
              <w:spacing w:before="0" w:after="0"/>
              <w:jc w:val="left"/>
            </w:pPr>
            <w:r>
              <w:rPr>
                <w:rFonts w:ascii="Arial" w:hAnsi="Arial"/>
                <w:b/>
                <w:color w:val="4C5A67"/>
                <w:sz w:val="15"/>
              </w:rPr>
              <w:t>LATER DESIGN</w:t>
            </w:r>
          </w:p>
        </w:tc>
        <w:tc>
          <w:tcPr>
            <w:tcW w:type="dxa" w:w="7128"/>
            <w:vAlign w:val="center"/>
            <w:tcMar>
              <w:top w:w="105" w:type="dxa"/>
              <w:start w:w="115" w:type="dxa"/>
              <w:bottom w:w="105" w:type="dxa"/>
              <w:end w:w="115" w:type="dxa"/>
            </w:tcMar>
            <w:tcBorders>
              <w:top w:val="single" w:sz="5" w:color="D7DEE5"/>
              <w:left w:val="single" w:sz="5" w:color="D7DEE5"/>
              <w:bottom w:val="single" w:sz="5" w:color="D7DEE5"/>
              <w:right w:val="single" w:sz="5" w:color="D7DEE5"/>
              <w:insideH w:val="single" w:sz="5" w:color="D7DEE5"/>
              <w:insideV w:val="single" w:sz="5" w:color="D7DEE5"/>
            </w:tcBorders>
            <w:shd w:fill="FFFFFF" w:val="clear"/>
          </w:tcPr>
          <w:p>
            <w:pPr>
              <w:spacing w:before="0" w:after="0" w:line="259" w:lineRule="auto"/>
              <w:jc w:val="left"/>
            </w:pPr>
            <w:r>
              <w:rPr>
                <w:rFonts w:ascii="Arial" w:hAnsi="Arial"/>
                <w:color w:val="263238"/>
                <w:sz w:val="18"/>
              </w:rPr>
              <w:t>For MVP, no production sending architecture is required. Before Phase 2 approval, document provider model, sending domains, volume tiers, deliverability, variable email costs and tenant economics.</w:t>
            </w:r>
          </w:p>
        </w:tc>
      </w:tr>
    </w:tbl>
    <w:p>
      <w:pPr>
        <w:pStyle w:val="Heading1"/>
        <w:widowControl/>
      </w:pPr>
      <w:r>
        <w:t>4. Development and IP governance</w:t>
      </w:r>
    </w:p>
    <w:p>
      <w:pPr>
        <w:widowControl/>
      </w:pPr>
      <w:r>
        <w:t>Because ownership of parts of the historical GRS environment is still being clarified, all Source Vision work should be traceable from the start. This protects Blue Virtue, NexusLink and any future buyer.</w:t>
      </w:r>
    </w:p>
    <w:p>
      <w:pPr>
        <w:pStyle w:val="Heading2"/>
        <w:widowControl/>
      </w:pPr>
      <w:r>
        <w:t>Start a Source Vision Development &amp; IP Register</w:t>
      </w:r>
    </w:p>
    <w:tbl>
      <w:tblPr>
        <w:tblW w:type="auto" w:w="0"/>
        <w:jc w:val="center"/>
        <w:tblLayout w:type="fixed"/>
        <w:tblLook w:firstColumn="1" w:firstRow="1" w:lastColumn="0" w:lastRow="0" w:noHBand="0" w:noVBand="1" w:val="04A0"/>
      </w:tblPr>
      <w:tblGrid>
        <w:gridCol w:w="1728"/>
        <w:gridCol w:w="1656"/>
        <w:gridCol w:w="1800"/>
        <w:gridCol w:w="1728"/>
        <w:gridCol w:w="1944"/>
        <w:gridCol w:w="1584"/>
      </w:tblGrid>
      <w:tr>
        <w:trPr>
          <w:cantSplit/>
        </w:trPr>
        <w:tc>
          <w:tcPr>
            <w:tcW w:type="dxa" w:w="1704"/>
            <w:shd w:fill="152F44"/>
            <w:tcMar>
              <w:top w:w="90" w:type="dxa"/>
              <w:start w:w="70" w:type="dxa"/>
              <w:bottom w:w="90" w:type="dxa"/>
              <w:end w:w="70" w:type="dxa"/>
            </w:tcMar>
            <w:vAlign w:val="center"/>
          </w:tcPr>
          <w:p>
            <w:pPr>
              <w:spacing w:after="0"/>
              <w:jc w:val="center"/>
            </w:pPr>
            <w:r>
              <w:rPr>
                <w:rFonts w:ascii="Arial" w:hAnsi="Arial"/>
                <w:b/>
                <w:color w:val="FFFFFF"/>
                <w:sz w:val="14"/>
              </w:rPr>
              <w:t>Component</w:t>
            </w:r>
          </w:p>
        </w:tc>
        <w:tc>
          <w:tcPr>
            <w:tcW w:type="dxa" w:w="1704"/>
            <w:shd w:fill="152F44"/>
            <w:tcMar>
              <w:top w:w="90" w:type="dxa"/>
              <w:start w:w="70" w:type="dxa"/>
              <w:bottom w:w="90" w:type="dxa"/>
              <w:end w:w="70" w:type="dxa"/>
            </w:tcMar>
            <w:vAlign w:val="center"/>
          </w:tcPr>
          <w:p>
            <w:pPr>
              <w:spacing w:after="0"/>
              <w:jc w:val="center"/>
            </w:pPr>
            <w:r>
              <w:rPr>
                <w:rFonts w:ascii="Arial" w:hAnsi="Arial"/>
                <w:b/>
                <w:color w:val="FFFFFF"/>
                <w:sz w:val="14"/>
              </w:rPr>
              <w:t>Origin</w:t>
            </w:r>
          </w:p>
        </w:tc>
        <w:tc>
          <w:tcPr>
            <w:tcW w:type="dxa" w:w="1704"/>
            <w:shd w:fill="152F44"/>
            <w:tcMar>
              <w:top w:w="90" w:type="dxa"/>
              <w:start w:w="70" w:type="dxa"/>
              <w:bottom w:w="90" w:type="dxa"/>
              <w:end w:w="70" w:type="dxa"/>
            </w:tcMar>
            <w:vAlign w:val="center"/>
          </w:tcPr>
          <w:p>
            <w:pPr>
              <w:spacing w:after="0"/>
              <w:jc w:val="center"/>
            </w:pPr>
            <w:r>
              <w:rPr>
                <w:rFonts w:ascii="Arial" w:hAnsi="Arial"/>
                <w:b/>
                <w:color w:val="FFFFFF"/>
                <w:sz w:val="14"/>
              </w:rPr>
              <w:t>Developer</w:t>
            </w:r>
          </w:p>
        </w:tc>
        <w:tc>
          <w:tcPr>
            <w:tcW w:type="dxa" w:w="1704"/>
            <w:shd w:fill="152F44"/>
            <w:tcMar>
              <w:top w:w="90" w:type="dxa"/>
              <w:start w:w="70" w:type="dxa"/>
              <w:bottom w:w="90" w:type="dxa"/>
              <w:end w:w="70" w:type="dxa"/>
            </w:tcMar>
            <w:vAlign w:val="center"/>
          </w:tcPr>
          <w:p>
            <w:pPr>
              <w:spacing w:after="0"/>
              <w:jc w:val="center"/>
            </w:pPr>
            <w:r>
              <w:rPr>
                <w:rFonts w:ascii="Arial" w:hAnsi="Arial"/>
                <w:b/>
                <w:color w:val="FFFFFF"/>
                <w:sz w:val="14"/>
              </w:rPr>
              <w:t>Source / Dependency</w:t>
            </w:r>
          </w:p>
        </w:tc>
        <w:tc>
          <w:tcPr>
            <w:tcW w:type="dxa" w:w="1704"/>
            <w:shd w:fill="152F44"/>
            <w:tcMar>
              <w:top w:w="90" w:type="dxa"/>
              <w:start w:w="70" w:type="dxa"/>
              <w:bottom w:w="90" w:type="dxa"/>
              <w:end w:w="70" w:type="dxa"/>
            </w:tcMar>
            <w:vAlign w:val="center"/>
          </w:tcPr>
          <w:p>
            <w:pPr>
              <w:spacing w:after="0"/>
              <w:jc w:val="center"/>
            </w:pPr>
            <w:r>
              <w:rPr>
                <w:rFonts w:ascii="Arial" w:hAnsi="Arial"/>
                <w:b/>
                <w:color w:val="FFFFFF"/>
                <w:sz w:val="14"/>
              </w:rPr>
              <w:t>Repo / Location</w:t>
            </w:r>
          </w:p>
        </w:tc>
        <w:tc>
          <w:tcPr>
            <w:tcW w:type="dxa" w:w="1704"/>
            <w:shd w:fill="152F44"/>
            <w:tcMar>
              <w:top w:w="90" w:type="dxa"/>
              <w:start w:w="70" w:type="dxa"/>
              <w:bottom w:w="90" w:type="dxa"/>
              <w:end w:w="70" w:type="dxa"/>
            </w:tcMar>
            <w:vAlign w:val="center"/>
          </w:tcPr>
          <w:p>
            <w:pPr>
              <w:spacing w:after="0"/>
              <w:jc w:val="center"/>
            </w:pPr>
            <w:r>
              <w:rPr>
                <w:rFonts w:ascii="Arial" w:hAnsi="Arial"/>
                <w:b/>
                <w:color w:val="FFFFFF"/>
                <w:sz w:val="14"/>
              </w:rPr>
              <w:t>Status</w:t>
            </w:r>
          </w:p>
        </w:tc>
      </w:tr>
      <w:tr>
        <w:trPr>
          <w:cantSplit/>
        </w:trPr>
        <w:tc>
          <w:tcPr>
            <w:tcW w:type="dxa" w:w="1704"/>
            <w:tcMar>
              <w:top w:w="90" w:type="dxa"/>
              <w:start w:w="70" w:type="dxa"/>
              <w:bottom w:w="90" w:type="dxa"/>
              <w:end w:w="70" w:type="dxa"/>
            </w:tcMar>
            <w:vAlign w:val="center"/>
          </w:tcPr>
          <w:p>
            <w:pPr>
              <w:spacing w:after="0"/>
              <w:jc w:val="left"/>
            </w:pPr>
            <w:r>
              <w:rPr>
                <w:rFonts w:ascii="Arial" w:hAnsi="Arial"/>
                <w:color w:val="2D3439"/>
                <w:sz w:val="14"/>
              </w:rPr>
              <w:t>White-label settings</w:t>
            </w:r>
          </w:p>
        </w:tc>
        <w:tc>
          <w:tcPr>
            <w:tcW w:type="dxa" w:w="1704"/>
            <w:tcMar>
              <w:top w:w="90" w:type="dxa"/>
              <w:start w:w="70" w:type="dxa"/>
              <w:bottom w:w="90" w:type="dxa"/>
              <w:end w:w="70" w:type="dxa"/>
            </w:tcMar>
            <w:vAlign w:val="center"/>
          </w:tcPr>
          <w:p>
            <w:pPr>
              <w:spacing w:after="0"/>
              <w:jc w:val="center"/>
            </w:pPr>
            <w:r>
              <w:rPr>
                <w:rFonts w:ascii="Arial" w:hAnsi="Arial"/>
                <w:color w:val="2D3439"/>
                <w:sz w:val="14"/>
              </w:rPr>
              <w:t>New Source Vision</w:t>
            </w:r>
          </w:p>
        </w:tc>
        <w:tc>
          <w:tcPr>
            <w:tcW w:type="dxa" w:w="1704"/>
            <w:tcMar>
              <w:top w:w="90" w:type="dxa"/>
              <w:start w:w="70" w:type="dxa"/>
              <w:bottom w:w="90" w:type="dxa"/>
              <w:end w:w="70" w:type="dxa"/>
            </w:tcMar>
            <w:vAlign w:val="center"/>
          </w:tcPr>
          <w:p>
            <w:pPr>
              <w:spacing w:after="0"/>
              <w:jc w:val="center"/>
            </w:pPr>
            <w:r>
              <w:rPr>
                <w:rFonts w:ascii="Arial" w:hAnsi="Arial"/>
                <w:color w:val="2D3439"/>
                <w:sz w:val="14"/>
              </w:rPr>
              <w:t>NexusLink</w:t>
            </w:r>
          </w:p>
        </w:tc>
        <w:tc>
          <w:tcPr>
            <w:tcW w:type="dxa" w:w="1704"/>
            <w:tcMar>
              <w:top w:w="90" w:type="dxa"/>
              <w:start w:w="70" w:type="dxa"/>
              <w:bottom w:w="90" w:type="dxa"/>
              <w:end w:w="70" w:type="dxa"/>
            </w:tcMar>
            <w:vAlign w:val="center"/>
          </w:tcPr>
          <w:p>
            <w:pPr>
              <w:spacing w:after="0"/>
              <w:jc w:val="left"/>
            </w:pPr>
            <w:r>
              <w:rPr>
                <w:rFonts w:ascii="Arial" w:hAnsi="Arial"/>
                <w:color w:val="2D3439"/>
                <w:sz w:val="14"/>
              </w:rPr>
              <w:t>Blue Virtue specification</w:t>
            </w:r>
          </w:p>
        </w:tc>
        <w:tc>
          <w:tcPr>
            <w:tcW w:type="dxa" w:w="1704"/>
            <w:tcMar>
              <w:top w:w="90" w:type="dxa"/>
              <w:start w:w="70" w:type="dxa"/>
              <w:bottom w:w="90" w:type="dxa"/>
              <w:end w:w="70" w:type="dxa"/>
            </w:tcMar>
            <w:vAlign w:val="center"/>
          </w:tcPr>
          <w:p>
            <w:pPr>
              <w:spacing w:after="0"/>
              <w:jc w:val="left"/>
            </w:pPr>
            <w:r>
              <w:rPr>
                <w:rFonts w:ascii="Arial" w:hAnsi="Arial"/>
                <w:color w:val="2D3439"/>
                <w:sz w:val="14"/>
              </w:rPr>
              <w:t>Source Vision repository</w:t>
            </w:r>
          </w:p>
        </w:tc>
        <w:tc>
          <w:tcPr>
            <w:tcW w:type="dxa" w:w="1704"/>
            <w:tcMar>
              <w:top w:w="90" w:type="dxa"/>
              <w:start w:w="70" w:type="dxa"/>
              <w:bottom w:w="90" w:type="dxa"/>
              <w:end w:w="70" w:type="dxa"/>
            </w:tcMar>
            <w:vAlign w:val="center"/>
          </w:tcPr>
          <w:p>
            <w:pPr>
              <w:spacing w:after="0"/>
              <w:jc w:val="center"/>
            </w:pPr>
            <w:r>
              <w:rPr>
                <w:rFonts w:ascii="Arial" w:hAnsi="Arial"/>
                <w:color w:val="2D3439"/>
                <w:sz w:val="14"/>
              </w:rPr>
              <w:t>New development</w:t>
            </w:r>
          </w:p>
        </w:tc>
      </w:tr>
    </w:tbl>
    <w:p>
      <w:pPr>
        <w:widowControl/>
      </w:pPr>
      <w:r>
        <w:rPr>
          <w:b/>
        </w:rPr>
        <w:t xml:space="preserve">Important: </w:t>
      </w:r>
      <w:r>
        <w:t>new development for Source Vision should not automatically imply a final ownership percentage or revenue share for any party. Ownership, licensing, compensation and any participation model should be documented separately once the wider structure is clearer.</w:t>
      </w:r>
    </w:p>
    <w:p>
      <w:pPr>
        <w:pStyle w:val="Heading1"/>
        <w:widowControl/>
      </w:pPr>
      <w:r>
        <w:t>5. MVP infrastructure and operating economics</w:t>
      </w:r>
    </w:p>
    <w:p>
      <w:pPr>
        <w:pStyle w:val="ListBullet"/>
        <w:widowControl/>
        <w:spacing w:after="60"/>
      </w:pPr>
      <w:r>
        <w:t>For Phase 1, the Blue Virtue VPS can be used for the demo environment.</w:t>
      </w:r>
    </w:p>
    <w:p>
      <w:pPr>
        <w:pStyle w:val="ListBullet"/>
        <w:widowControl/>
        <w:spacing w:after="60"/>
      </w:pPr>
      <w:r>
        <w:t>The demo can use source-vision.com with Cloudflare for DNS / domain configuration.</w:t>
      </w:r>
    </w:p>
    <w:p>
      <w:pPr>
        <w:pStyle w:val="ListBullet"/>
        <w:widowControl/>
        <w:spacing w:after="60"/>
      </w:pPr>
      <w:r>
        <w:t>This should be documented as MVP infrastructure only; it is not a decision on final production hosting architecture.</w:t>
      </w:r>
    </w:p>
    <w:p>
      <w:pPr>
        <w:pStyle w:val="ListBullet"/>
        <w:widowControl/>
        <w:spacing w:after="60"/>
      </w:pPr>
      <w:r>
        <w:t>Variable email costs depend on sending volume, domains and provider setup. These economics should be modelled before Phase 2 production decisions, not overbuilt into the static MVP.</w:t>
      </w:r>
    </w:p>
    <w:p>
      <w:pPr>
        <w:widowControl/>
      </w:pPr>
      <w:r>
        <w:br w:type="page"/>
      </w:r>
    </w:p>
    <w:p>
      <w:pPr>
        <w:pStyle w:val="Heading1"/>
        <w:widowControl/>
      </w:pPr>
      <w:r>
        <w:t>6. Current collaboration context</w:t>
      </w:r>
    </w:p>
    <w:tbl>
      <w:tblPr>
        <w:tblW w:type="auto" w:w="0"/>
        <w:jc w:val="center"/>
        <w:tblLayout w:type="fixed"/>
        <w:tblLook w:firstColumn="1" w:firstRow="1" w:lastColumn="0" w:lastRow="0" w:noHBand="0" w:noVBand="1" w:val="04A0"/>
      </w:tblPr>
      <w:tblGrid>
        <w:gridCol w:w="2376"/>
        <w:gridCol w:w="8136"/>
      </w:tblGrid>
      <w:tr>
        <w:trPr>
          <w:tblHeader w:val="true"/>
          <w:cantSplit/>
        </w:trPr>
        <w:tc>
          <w:tcPr>
            <w:tcW w:type="dxa" w:w="5112"/>
            <w:shd w:fill="152F44"/>
            <w:tcMar>
              <w:top w:w="90" w:type="dxa"/>
              <w:start w:w="110" w:type="dxa"/>
              <w:bottom w:w="90" w:type="dxa"/>
              <w:end w:w="110" w:type="dxa"/>
            </w:tcMar>
            <w:vAlign w:val="center"/>
          </w:tcPr>
          <w:p>
            <w:pPr>
              <w:spacing w:after="0"/>
              <w:jc w:val="center"/>
            </w:pPr>
            <w:r>
              <w:rPr>
                <w:rFonts w:ascii="Arial" w:hAnsi="Arial"/>
                <w:b/>
                <w:color w:val="FFFFFF"/>
                <w:sz w:val="15"/>
              </w:rPr>
              <w:t>PARTY / AREA</w:t>
            </w:r>
          </w:p>
        </w:tc>
        <w:tc>
          <w:tcPr>
            <w:tcW w:type="dxa" w:w="5112"/>
            <w:shd w:fill="152F44"/>
            <w:tcMar>
              <w:top w:w="90" w:type="dxa"/>
              <w:start w:w="110" w:type="dxa"/>
              <w:bottom w:w="90" w:type="dxa"/>
              <w:end w:w="110" w:type="dxa"/>
            </w:tcMar>
            <w:vAlign w:val="center"/>
          </w:tcPr>
          <w:p>
            <w:pPr>
              <w:spacing w:after="0"/>
              <w:jc w:val="left"/>
            </w:pPr>
            <w:r>
              <w:rPr>
                <w:rFonts w:ascii="Arial" w:hAnsi="Arial"/>
                <w:b/>
                <w:color w:val="FFFFFF"/>
                <w:sz w:val="15"/>
              </w:rPr>
              <w:t>CURRENT ALIGNMENT</w:t>
            </w:r>
          </w:p>
        </w:tc>
      </w:tr>
      <w:tr>
        <w:trPr>
          <w:cantSplit/>
        </w:trPr>
        <w:tc>
          <w:tcPr>
            <w:tcW w:type="dxa" w:w="5112"/>
            <w:tcMar>
              <w:top w:w="95" w:type="dxa"/>
              <w:start w:w="110" w:type="dxa"/>
              <w:bottom w:w="95" w:type="dxa"/>
              <w:end w:w="110" w:type="dxa"/>
            </w:tcMar>
            <w:vAlign w:val="center"/>
            <w:shd w:fill="EEF3F6"/>
          </w:tcPr>
          <w:p>
            <w:pPr>
              <w:spacing w:after="0"/>
            </w:pPr>
            <w:r>
              <w:rPr>
                <w:rFonts w:ascii="Arial" w:hAnsi="Arial"/>
                <w:b/>
                <w:color w:val="152F44"/>
                <w:sz w:val="16"/>
              </w:rPr>
              <w:t>Blue Virtue</w:t>
            </w:r>
          </w:p>
        </w:tc>
        <w:tc>
          <w:tcPr>
            <w:tcW w:type="dxa" w:w="5112"/>
            <w:tcMar>
              <w:top w:w="95" w:type="dxa"/>
              <w:start w:w="110" w:type="dxa"/>
              <w:bottom w:w="95" w:type="dxa"/>
              <w:end w:w="110" w:type="dxa"/>
            </w:tcMar>
            <w:vAlign w:val="center"/>
          </w:tcPr>
          <w:p>
            <w:pPr>
              <w:spacing w:after="0"/>
            </w:pPr>
            <w:r>
              <w:rPr>
                <w:rFonts w:ascii="Arial" w:hAnsi="Arial"/>
                <w:color w:val="2D3439"/>
                <w:sz w:val="16"/>
              </w:rPr>
              <w:t>Strategy, positioning, commercial model, UX/design direction, demo storyline, buyer communication and overall project direction.</w:t>
            </w:r>
          </w:p>
        </w:tc>
      </w:tr>
      <w:tr>
        <w:trPr>
          <w:cantSplit/>
        </w:trPr>
        <w:tc>
          <w:tcPr>
            <w:tcW w:type="dxa" w:w="5112"/>
            <w:tcMar>
              <w:top w:w="95" w:type="dxa"/>
              <w:start w:w="110" w:type="dxa"/>
              <w:bottom w:w="95" w:type="dxa"/>
              <w:end w:w="110" w:type="dxa"/>
            </w:tcMar>
            <w:vAlign w:val="center"/>
            <w:shd w:fill="EEF3F6"/>
          </w:tcPr>
          <w:p>
            <w:pPr>
              <w:spacing w:after="0"/>
            </w:pPr>
            <w:r>
              <w:rPr>
                <w:rFonts w:ascii="Arial" w:hAnsi="Arial"/>
                <w:b/>
                <w:color w:val="152F44"/>
                <w:sz w:val="16"/>
              </w:rPr>
              <w:t>NexusLink</w:t>
            </w:r>
          </w:p>
        </w:tc>
        <w:tc>
          <w:tcPr>
            <w:tcW w:type="dxa" w:w="5112"/>
            <w:tcMar>
              <w:top w:w="95" w:type="dxa"/>
              <w:start w:w="110" w:type="dxa"/>
              <w:bottom w:w="95" w:type="dxa"/>
              <w:end w:w="110" w:type="dxa"/>
            </w:tcMar>
            <w:vAlign w:val="center"/>
          </w:tcPr>
          <w:p>
            <w:pPr>
              <w:spacing w:after="0"/>
            </w:pPr>
            <w:r>
              <w:rPr>
                <w:rFonts w:ascii="Arial" w:hAnsi="Arial"/>
                <w:color w:val="2D3439"/>
                <w:sz w:val="16"/>
              </w:rPr>
              <w:t>Development partner responsible for technical implementation, platform structure, backend logic, user roles, feasibility and technical feedback.</w:t>
            </w:r>
          </w:p>
        </w:tc>
      </w:tr>
      <w:tr>
        <w:trPr>
          <w:cantSplit/>
        </w:trPr>
        <w:tc>
          <w:tcPr>
            <w:tcW w:type="dxa" w:w="5112"/>
            <w:tcMar>
              <w:top w:w="95" w:type="dxa"/>
              <w:start w:w="110" w:type="dxa"/>
              <w:bottom w:w="95" w:type="dxa"/>
              <w:end w:w="110" w:type="dxa"/>
            </w:tcMar>
            <w:vAlign w:val="center"/>
            <w:shd w:fill="EEF3F6"/>
          </w:tcPr>
          <w:p>
            <w:pPr>
              <w:spacing w:after="0"/>
            </w:pPr>
            <w:r>
              <w:rPr>
                <w:rFonts w:ascii="Arial" w:hAnsi="Arial"/>
                <w:b/>
                <w:color w:val="152F44"/>
                <w:sz w:val="16"/>
              </w:rPr>
              <w:t>Dashboard technology</w:t>
            </w:r>
          </w:p>
        </w:tc>
        <w:tc>
          <w:tcPr>
            <w:tcW w:type="dxa" w:w="5112"/>
            <w:tcMar>
              <w:top w:w="95" w:type="dxa"/>
              <w:start w:w="110" w:type="dxa"/>
              <w:bottom w:w="95" w:type="dxa"/>
              <w:end w:w="110" w:type="dxa"/>
            </w:tcMar>
            <w:vAlign w:val="center"/>
          </w:tcPr>
          <w:p>
            <w:pPr>
              <w:spacing w:after="0"/>
            </w:pPr>
            <w:r>
              <w:rPr>
                <w:rFonts w:ascii="Arial" w:hAnsi="Arial"/>
                <w:color w:val="2D3439"/>
                <w:sz w:val="16"/>
              </w:rPr>
              <w:t>Blue Virtue has access to statistics/reporting technology through its network. Technical fit and integration options should be assessed before duplicating functionality.</w:t>
            </w:r>
          </w:p>
        </w:tc>
      </w:tr>
      <w:tr>
        <w:trPr>
          <w:cantSplit/>
        </w:trPr>
        <w:tc>
          <w:tcPr>
            <w:tcW w:type="dxa" w:w="5112"/>
            <w:tcMar>
              <w:top w:w="95" w:type="dxa"/>
              <w:start w:w="110" w:type="dxa"/>
              <w:bottom w:w="95" w:type="dxa"/>
              <w:end w:w="110" w:type="dxa"/>
            </w:tcMar>
            <w:vAlign w:val="center"/>
            <w:shd w:fill="EEF3F6"/>
          </w:tcPr>
          <w:p>
            <w:pPr>
              <w:spacing w:after="0"/>
            </w:pPr>
            <w:r>
              <w:rPr>
                <w:rFonts w:ascii="Arial" w:hAnsi="Arial"/>
                <w:b/>
                <w:color w:val="152F44"/>
                <w:sz w:val="16"/>
              </w:rPr>
              <w:t>Software sales</w:t>
            </w:r>
          </w:p>
        </w:tc>
        <w:tc>
          <w:tcPr>
            <w:tcW w:type="dxa" w:w="5112"/>
            <w:tcMar>
              <w:top w:w="95" w:type="dxa"/>
              <w:start w:w="110" w:type="dxa"/>
              <w:bottom w:w="95" w:type="dxa"/>
              <w:end w:w="110" w:type="dxa"/>
            </w:tcMar>
            <w:vAlign w:val="center"/>
          </w:tcPr>
          <w:p>
            <w:pPr>
              <w:spacing w:after="0"/>
            </w:pPr>
            <w:r>
              <w:rPr>
                <w:rFonts w:ascii="Arial" w:hAnsi="Arial"/>
                <w:color w:val="2D3439"/>
                <w:sz w:val="16"/>
              </w:rPr>
              <w:t>Blue Virtue is in discussions with a software sales professional who may support commercialisation on a commission basis. No final model is agreed yet.</w:t>
            </w:r>
          </w:p>
        </w:tc>
      </w:tr>
      <w:tr>
        <w:trPr>
          <w:cantSplit/>
        </w:trPr>
        <w:tc>
          <w:tcPr>
            <w:tcW w:type="dxa" w:w="5112"/>
            <w:tcMar>
              <w:top w:w="95" w:type="dxa"/>
              <w:start w:w="110" w:type="dxa"/>
              <w:bottom w:w="95" w:type="dxa"/>
              <w:end w:w="110" w:type="dxa"/>
            </w:tcMar>
            <w:vAlign w:val="center"/>
            <w:shd w:fill="EEF3F6"/>
          </w:tcPr>
          <w:p>
            <w:pPr>
              <w:spacing w:after="0"/>
            </w:pPr>
            <w:r>
              <w:rPr>
                <w:rFonts w:ascii="Arial" w:hAnsi="Arial"/>
                <w:b/>
                <w:color w:val="152F44"/>
                <w:sz w:val="16"/>
              </w:rPr>
              <w:t>GRS Retail</w:t>
            </w:r>
          </w:p>
        </w:tc>
        <w:tc>
          <w:tcPr>
            <w:tcW w:type="dxa" w:w="5112"/>
            <w:tcMar>
              <w:top w:w="95" w:type="dxa"/>
              <w:start w:w="110" w:type="dxa"/>
              <w:bottom w:w="95" w:type="dxa"/>
              <w:end w:w="110" w:type="dxa"/>
            </w:tcMar>
            <w:vAlign w:val="center"/>
          </w:tcPr>
          <w:p>
            <w:pPr>
              <w:spacing w:after="0"/>
            </w:pPr>
            <w:r>
              <w:rPr>
                <w:rFonts w:ascii="Arial" w:hAnsi="Arial"/>
                <w:color w:val="2D3439"/>
                <w:sz w:val="16"/>
              </w:rPr>
              <w:t>Discussions are ongoing regarding historical cooperation, IP/ownership and possible future participation. No Source Vision scope should assume GRS participation or the transfer of GRS customers/data/IP unless later confirmed in writing.</w:t>
            </w:r>
          </w:p>
        </w:tc>
      </w:tr>
    </w:tbl>
    <w:p>
      <w:pPr>
        <w:pStyle w:val="Heading1"/>
        <w:widowControl/>
      </w:pPr>
      <w:r>
        <w:t>7. Requested next steps</w:t>
      </w:r>
    </w:p>
    <w:p>
      <w:pPr>
        <w:widowControl/>
        <w:spacing w:after="60"/>
        <w:ind w:left="43"/>
      </w:pPr>
      <w:r>
        <w:rPr>
          <w:rFonts w:ascii="Arial" w:hAnsi="Arial"/>
          <w:b/>
          <w:color w:val="266F96"/>
        </w:rPr>
        <w:t xml:space="preserve">1. </w:t>
      </w:r>
      <w:r>
        <w:t>Revise the Phase 1 Wave 1 priority/order around the buyer demo storyline.</w:t>
      </w:r>
    </w:p>
    <w:p>
      <w:pPr>
        <w:widowControl/>
        <w:spacing w:after="60"/>
        <w:ind w:left="43"/>
      </w:pPr>
      <w:r>
        <w:rPr>
          <w:rFonts w:ascii="Arial" w:hAnsi="Arial"/>
          <w:b/>
          <w:color w:val="266F96"/>
        </w:rPr>
        <w:t xml:space="preserve">2. </w:t>
      </w:r>
      <w:r>
        <w:t>Update Phase 2 module wording based on the changes above, especially GRS migration, roadmap modules, integrations and reporting.</w:t>
      </w:r>
    </w:p>
    <w:p>
      <w:pPr>
        <w:widowControl/>
        <w:spacing w:after="60"/>
        <w:ind w:left="43"/>
      </w:pPr>
      <w:r>
        <w:rPr>
          <w:rFonts w:ascii="Arial" w:hAnsi="Arial"/>
          <w:b/>
          <w:color w:val="266F96"/>
        </w:rPr>
        <w:t xml:space="preserve">3. </w:t>
      </w:r>
      <w:r>
        <w:t>Prepare a short MVP execution plan showing priority, owner, dependency, acceptance criteria, target date and estimated effort.</w:t>
      </w:r>
    </w:p>
    <w:p>
      <w:pPr>
        <w:widowControl/>
        <w:spacing w:after="60"/>
        <w:ind w:left="43"/>
      </w:pPr>
      <w:r>
        <w:rPr>
          <w:rFonts w:ascii="Arial" w:hAnsi="Arial"/>
          <w:b/>
          <w:color w:val="266F96"/>
        </w:rPr>
        <w:t xml:space="preserve">4. </w:t>
      </w:r>
      <w:r>
        <w:t>Start the Development &amp; IP Register from the first Source Vision implementation work.</w:t>
      </w:r>
    </w:p>
    <w:p>
      <w:pPr>
        <w:widowControl/>
        <w:spacing w:after="60"/>
        <w:ind w:left="43"/>
      </w:pPr>
      <w:r>
        <w:rPr>
          <w:rFonts w:ascii="Arial" w:hAnsi="Arial"/>
          <w:b/>
          <w:color w:val="266F96"/>
        </w:rPr>
        <w:t xml:space="preserve">5. </w:t>
      </w:r>
      <w:r>
        <w:t>Review the available dashboard technology before estimating a custom reporting build.</w:t>
      </w:r>
    </w:p>
    <w:p>
      <w:pPr>
        <w:widowControl/>
        <w:spacing w:after="60"/>
        <w:ind w:left="43"/>
      </w:pPr>
      <w:r>
        <w:rPr>
          <w:rFonts w:ascii="Arial" w:hAnsi="Arial"/>
          <w:b/>
          <w:color w:val="266F96"/>
        </w:rPr>
        <w:t xml:space="preserve">6. </w:t>
      </w:r>
      <w:r>
        <w:t>Only after the revised Phase 2 framework is agreed, prepare module-level effort and cost estimates for future development.</w:t>
      </w:r>
    </w:p>
    <w:p>
      <w:pPr>
        <w:widowControl/>
        <w:spacing w:before="160"/>
      </w:pPr>
    </w:p>
    <w:tbl>
      <w:tblPr>
        <w:tblW w:type="auto" w:w="0"/>
        <w:jc w:val="left"/>
        <w:tblLook w:firstColumn="1" w:firstRow="1" w:lastColumn="0" w:lastRow="0" w:noHBand="0" w:noVBand="1" w:val="04A0"/>
      </w:tblPr>
      <w:tblGrid>
        <w:gridCol w:w="10224"/>
      </w:tblGrid>
      <w:tr>
        <w:tc>
          <w:tcPr>
            <w:tcW w:type="dxa" w:w="10224"/>
            <w:shd w:fill="EAF5EF"/>
            <w:tcMar>
              <w:top w:w="125" w:type="dxa"/>
              <w:start w:w="150" w:type="dxa"/>
              <w:bottom w:w="125" w:type="dxa"/>
              <w:end w:w="150" w:type="dxa"/>
            </w:tcMar>
          </w:tcPr>
          <w:p>
            <w:pPr>
              <w:spacing w:after="0"/>
            </w:pPr>
            <w:r>
              <w:rPr>
                <w:rFonts w:ascii="Arial" w:hAnsi="Arial"/>
                <w:b/>
                <w:color w:val="152F44"/>
                <w:sz w:val="18"/>
              </w:rPr>
              <w:t xml:space="preserve">Working approval position: </w:t>
            </w:r>
            <w:r>
              <w:rPr>
                <w:rFonts w:ascii="Arial" w:hAnsi="Arial"/>
                <w:color w:val="2D3439"/>
                <w:sz w:val="18"/>
              </w:rPr>
              <w:t>Phase 1 direction approved subject to Wave 1 prioritisation. Phase 2 accepted as a proposed future architecture only and remains subject to module-by-module review, IP clarification, technical validation and commercial approval.</w:t>
            </w:r>
          </w:p>
        </w:tc>
      </w:tr>
    </w:tbl>
    <w:sectPr w:rsidR="00FC693F" w:rsidRPr="0006063C"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D34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52F4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66F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52F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rial" w:hAnsi="Arial"/>
      <w:b/>
      <w:color w:val="266F9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