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right="-360" w:firstLine="0"/>
        <w:contextualSpacing w:val="0"/>
        <w:rPr>
          <w:sz w:val="26"/>
          <w:szCs w:val="26"/>
        </w:rPr>
      </w:pPr>
      <w:r w:rsidDel="00000000" w:rsidR="00000000" w:rsidRPr="00000000">
        <w:rPr>
          <w:sz w:val="26"/>
          <w:szCs w:val="26"/>
          <w:rtl w:val="0"/>
        </w:rPr>
        <w:t xml:space="preserve">A </w:t>
      </w:r>
      <w:hyperlink r:id="rId6">
        <w:r w:rsidDel="00000000" w:rsidR="00000000" w:rsidRPr="00000000">
          <w:rPr>
            <w:color w:val="1155cc"/>
            <w:sz w:val="26"/>
            <w:szCs w:val="26"/>
            <w:u w:val="single"/>
            <w:rtl w:val="0"/>
          </w:rPr>
          <w:t xml:space="preserve">survey paper</w:t>
        </w:r>
      </w:hyperlink>
      <w:r w:rsidDel="00000000" w:rsidR="00000000" w:rsidRPr="00000000">
        <w:rPr>
          <w:sz w:val="26"/>
          <w:szCs w:val="26"/>
          <w:rtl w:val="0"/>
        </w:rPr>
        <w:t xml:space="preserve"> by Jin-ge Yao et. al. in summarizes various works that were published in the field of text summarization in the last 5-6 years. Taking help of this work we have chosen the papers which present the results for the datasets listed below and also keeping in mind the conferences in which they were published.</w:t>
      </w:r>
    </w:p>
    <w:p w:rsidR="00000000" w:rsidDel="00000000" w:rsidP="00000000" w:rsidRDefault="00000000" w:rsidRPr="00000000" w14:paraId="00000001">
      <w:pPr>
        <w:ind w:left="-360" w:right="-360" w:firstLine="0"/>
        <w:contextualSpacing w:val="0"/>
        <w:rPr/>
      </w:pPr>
      <w:r w:rsidDel="00000000" w:rsidR="00000000" w:rsidRPr="00000000">
        <w:rPr>
          <w:rtl w:val="0"/>
        </w:rPr>
      </w:r>
    </w:p>
    <w:p w:rsidR="00000000" w:rsidDel="00000000" w:rsidP="00000000" w:rsidRDefault="00000000" w:rsidRPr="00000000" w14:paraId="00000002">
      <w:pPr>
        <w:ind w:left="-360" w:right="-360" w:firstLine="0"/>
        <w:contextualSpacing w:val="0"/>
        <w:rPr/>
      </w:pPr>
      <w:r w:rsidDel="00000000" w:rsidR="00000000" w:rsidRPr="00000000">
        <w:rPr>
          <w:rtl w:val="0"/>
        </w:rPr>
      </w:r>
    </w:p>
    <w:p w:rsidR="00000000" w:rsidDel="00000000" w:rsidP="00000000" w:rsidRDefault="00000000" w:rsidRPr="00000000" w14:paraId="00000003">
      <w:pPr>
        <w:ind w:left="-360" w:right="-360" w:firstLine="0"/>
        <w:contextualSpacing w:val="0"/>
        <w:rPr/>
      </w:pPr>
      <w:r w:rsidDel="00000000" w:rsidR="00000000" w:rsidRPr="00000000">
        <w:rPr/>
        <w:drawing>
          <wp:inline distB="114300" distT="114300" distL="114300" distR="114300">
            <wp:extent cx="3252788" cy="201897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52788" cy="2018972"/>
                    </a:xfrm>
                    <a:prstGeom prst="rect"/>
                    <a:ln/>
                  </pic:spPr>
                </pic:pic>
              </a:graphicData>
            </a:graphic>
          </wp:inline>
        </w:drawing>
      </w:r>
      <w:r w:rsidDel="00000000" w:rsidR="00000000" w:rsidRPr="00000000">
        <w:rPr/>
        <w:drawing>
          <wp:inline distB="114300" distT="114300" distL="114300" distR="114300">
            <wp:extent cx="3043238" cy="228509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3238" cy="22850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hadb1xoh6lkj" w:id="0"/>
      <w:bookmarkEnd w:id="0"/>
      <w:r w:rsidDel="00000000" w:rsidR="00000000" w:rsidRPr="00000000">
        <w:rPr>
          <w:rtl w:val="0"/>
        </w:rPr>
        <w:t xml:space="preserve">Conferences</w:t>
      </w:r>
    </w:p>
    <w:p w:rsidR="00000000" w:rsidDel="00000000" w:rsidP="00000000" w:rsidRDefault="00000000" w:rsidRPr="00000000" w14:paraId="00000005">
      <w:pPr>
        <w:numPr>
          <w:ilvl w:val="0"/>
          <w:numId w:val="2"/>
        </w:numPr>
        <w:ind w:left="720" w:hanging="360"/>
        <w:contextualSpacing w:val="1"/>
        <w:rPr>
          <w:sz w:val="24"/>
          <w:szCs w:val="24"/>
        </w:rPr>
      </w:pPr>
      <w:r w:rsidDel="00000000" w:rsidR="00000000" w:rsidRPr="00000000">
        <w:rPr>
          <w:sz w:val="24"/>
          <w:szCs w:val="24"/>
          <w:rtl w:val="0"/>
        </w:rPr>
        <w:t xml:space="preserve">ACL</w:t>
      </w:r>
    </w:p>
    <w:p w:rsidR="00000000" w:rsidDel="00000000" w:rsidP="00000000" w:rsidRDefault="00000000" w:rsidRPr="00000000" w14:paraId="00000006">
      <w:pPr>
        <w:numPr>
          <w:ilvl w:val="0"/>
          <w:numId w:val="2"/>
        </w:numPr>
        <w:ind w:left="720" w:hanging="360"/>
        <w:contextualSpacing w:val="1"/>
        <w:rPr>
          <w:sz w:val="24"/>
          <w:szCs w:val="24"/>
        </w:rPr>
      </w:pPr>
      <w:r w:rsidDel="00000000" w:rsidR="00000000" w:rsidRPr="00000000">
        <w:rPr>
          <w:sz w:val="24"/>
          <w:szCs w:val="24"/>
          <w:rtl w:val="0"/>
        </w:rPr>
        <w:t xml:space="preserve">EMNLP </w:t>
      </w:r>
    </w:p>
    <w:p w:rsidR="00000000" w:rsidDel="00000000" w:rsidP="00000000" w:rsidRDefault="00000000" w:rsidRPr="00000000" w14:paraId="00000007">
      <w:pPr>
        <w:numPr>
          <w:ilvl w:val="0"/>
          <w:numId w:val="2"/>
        </w:numPr>
        <w:ind w:left="720" w:hanging="360"/>
        <w:contextualSpacing w:val="1"/>
        <w:rPr>
          <w:sz w:val="24"/>
          <w:szCs w:val="24"/>
        </w:rPr>
      </w:pPr>
      <w:r w:rsidDel="00000000" w:rsidR="00000000" w:rsidRPr="00000000">
        <w:rPr>
          <w:sz w:val="24"/>
          <w:szCs w:val="24"/>
          <w:rtl w:val="0"/>
        </w:rPr>
        <w:t xml:space="preserve">NAACL </w:t>
      </w:r>
    </w:p>
    <w:p w:rsidR="00000000" w:rsidDel="00000000" w:rsidP="00000000" w:rsidRDefault="00000000" w:rsidRPr="00000000" w14:paraId="00000008">
      <w:pPr>
        <w:numPr>
          <w:ilvl w:val="0"/>
          <w:numId w:val="2"/>
        </w:numPr>
        <w:ind w:left="720" w:hanging="360"/>
        <w:contextualSpacing w:val="1"/>
        <w:rPr>
          <w:sz w:val="24"/>
          <w:szCs w:val="24"/>
        </w:rPr>
      </w:pPr>
      <w:r w:rsidDel="00000000" w:rsidR="00000000" w:rsidRPr="00000000">
        <w:rPr>
          <w:sz w:val="24"/>
          <w:szCs w:val="24"/>
          <w:rtl w:val="0"/>
        </w:rPr>
        <w:t xml:space="preserve">EACL</w:t>
      </w:r>
    </w:p>
    <w:p w:rsidR="00000000" w:rsidDel="00000000" w:rsidP="00000000" w:rsidRDefault="00000000" w:rsidRPr="00000000" w14:paraId="00000009">
      <w:pPr>
        <w:numPr>
          <w:ilvl w:val="0"/>
          <w:numId w:val="2"/>
        </w:numPr>
        <w:ind w:left="720" w:hanging="360"/>
        <w:contextualSpacing w:val="1"/>
        <w:rPr>
          <w:sz w:val="24"/>
          <w:szCs w:val="24"/>
        </w:rPr>
      </w:pPr>
      <w:r w:rsidDel="00000000" w:rsidR="00000000" w:rsidRPr="00000000">
        <w:rPr>
          <w:sz w:val="24"/>
          <w:szCs w:val="24"/>
          <w:rtl w:val="0"/>
        </w:rPr>
        <w:t xml:space="preserve">COLING </w:t>
      </w:r>
    </w:p>
    <w:p w:rsidR="00000000" w:rsidDel="00000000" w:rsidP="00000000" w:rsidRDefault="00000000" w:rsidRPr="00000000" w14:paraId="0000000A">
      <w:pPr>
        <w:numPr>
          <w:ilvl w:val="0"/>
          <w:numId w:val="2"/>
        </w:numPr>
        <w:ind w:left="720" w:hanging="360"/>
        <w:contextualSpacing w:val="1"/>
        <w:rPr>
          <w:sz w:val="24"/>
          <w:szCs w:val="24"/>
        </w:rPr>
      </w:pPr>
      <w:r w:rsidDel="00000000" w:rsidR="00000000" w:rsidRPr="00000000">
        <w:rPr>
          <w:sz w:val="24"/>
          <w:szCs w:val="24"/>
          <w:rtl w:val="0"/>
        </w:rPr>
        <w:t xml:space="preserve">SIGIR </w:t>
      </w:r>
    </w:p>
    <w:p w:rsidR="00000000" w:rsidDel="00000000" w:rsidP="00000000" w:rsidRDefault="00000000" w:rsidRPr="00000000" w14:paraId="0000000B">
      <w:pPr>
        <w:numPr>
          <w:ilvl w:val="0"/>
          <w:numId w:val="2"/>
        </w:numPr>
        <w:ind w:left="720" w:hanging="360"/>
        <w:contextualSpacing w:val="1"/>
        <w:rPr>
          <w:sz w:val="24"/>
          <w:szCs w:val="24"/>
        </w:rPr>
      </w:pPr>
      <w:r w:rsidDel="00000000" w:rsidR="00000000" w:rsidRPr="00000000">
        <w:rPr>
          <w:sz w:val="24"/>
          <w:szCs w:val="24"/>
          <w:rtl w:val="0"/>
        </w:rPr>
        <w:t xml:space="preserve">AAAI</w:t>
      </w:r>
    </w:p>
    <w:p w:rsidR="00000000" w:rsidDel="00000000" w:rsidP="00000000" w:rsidRDefault="00000000" w:rsidRPr="00000000" w14:paraId="0000000C">
      <w:pPr>
        <w:numPr>
          <w:ilvl w:val="0"/>
          <w:numId w:val="2"/>
        </w:numPr>
        <w:ind w:left="720" w:hanging="360"/>
        <w:contextualSpacing w:val="1"/>
        <w:rPr>
          <w:sz w:val="24"/>
          <w:szCs w:val="24"/>
        </w:rPr>
      </w:pPr>
      <w:r w:rsidDel="00000000" w:rsidR="00000000" w:rsidRPr="00000000">
        <w:rPr>
          <w:sz w:val="24"/>
          <w:szCs w:val="24"/>
          <w:rtl w:val="0"/>
        </w:rPr>
        <w:t xml:space="preserve">IJCAI</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dg6c7ptrcn5p" w:id="1"/>
      <w:bookmarkEnd w:id="1"/>
      <w:r w:rsidDel="00000000" w:rsidR="00000000" w:rsidRPr="00000000">
        <w:rPr>
          <w:rtl w:val="0"/>
        </w:rPr>
        <w:t xml:space="preserve">Datasets</w:t>
      </w:r>
    </w:p>
    <w:p w:rsidR="00000000" w:rsidDel="00000000" w:rsidP="00000000" w:rsidRDefault="00000000" w:rsidRPr="00000000" w14:paraId="0000000F">
      <w:pPr>
        <w:numPr>
          <w:ilvl w:val="0"/>
          <w:numId w:val="1"/>
        </w:numPr>
        <w:ind w:left="720" w:hanging="360"/>
        <w:contextualSpacing w:val="1"/>
        <w:rPr>
          <w:sz w:val="24"/>
          <w:szCs w:val="24"/>
        </w:rPr>
      </w:pPr>
      <w:r w:rsidDel="00000000" w:rsidR="00000000" w:rsidRPr="00000000">
        <w:rPr>
          <w:sz w:val="24"/>
          <w:szCs w:val="24"/>
          <w:rtl w:val="0"/>
        </w:rPr>
        <w:t xml:space="preserve">Text Analytics Conferences (TAC)</w:t>
      </w:r>
    </w:p>
    <w:p w:rsidR="00000000" w:rsidDel="00000000" w:rsidP="00000000" w:rsidRDefault="00000000" w:rsidRPr="00000000" w14:paraId="00000010">
      <w:pPr>
        <w:numPr>
          <w:ilvl w:val="0"/>
          <w:numId w:val="1"/>
        </w:numPr>
        <w:ind w:left="720" w:hanging="360"/>
        <w:contextualSpacing w:val="1"/>
        <w:rPr>
          <w:sz w:val="24"/>
          <w:szCs w:val="24"/>
        </w:rPr>
      </w:pPr>
      <w:r w:rsidDel="00000000" w:rsidR="00000000" w:rsidRPr="00000000">
        <w:rPr>
          <w:sz w:val="24"/>
          <w:szCs w:val="24"/>
          <w:rtl w:val="0"/>
        </w:rPr>
        <w:t xml:space="preserve">Document Understanding Conference (DUC)</w:t>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rtl w:val="0"/>
        </w:rPr>
        <w:t xml:space="preserve">Gigaword</w:t>
      </w:r>
    </w:p>
    <w:p w:rsidR="00000000" w:rsidDel="00000000" w:rsidP="00000000" w:rsidRDefault="00000000" w:rsidRPr="00000000" w14:paraId="00000012">
      <w:pPr>
        <w:numPr>
          <w:ilvl w:val="0"/>
          <w:numId w:val="1"/>
        </w:numPr>
        <w:ind w:left="720" w:hanging="360"/>
        <w:contextualSpacing w:val="1"/>
        <w:rPr>
          <w:sz w:val="24"/>
          <w:szCs w:val="24"/>
        </w:rPr>
      </w:pPr>
      <w:r w:rsidDel="00000000" w:rsidR="00000000" w:rsidRPr="00000000">
        <w:rPr>
          <w:sz w:val="24"/>
          <w:szCs w:val="24"/>
          <w:rtl w:val="0"/>
        </w:rPr>
        <w:t xml:space="preserve">CNN</w:t>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rtl w:val="0"/>
        </w:rPr>
        <w:t xml:space="preserve">LCSTS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59.108.48.12/lcwm/wanxj/files/summ_survey_draft.pdf"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