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Architecture Principles &amp; Standards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8C4E0"/>
                <w:sz w:val="26"/>
                <w:szCs w:val="26"/>
              </w:rPr>
              <w:t xml:space="preserve">Enterprise Document Management System — EDMS v1.0</w:t>
            </w:r>
          </w:p>
          <w:p>
            <w:pPr>
              <w:jc w:val="center"/>
            </w:pPr>
            <w:r>
              <w:t xml:space="preserve"> 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EE"/>
                <w:sz w:val="22"/>
                <w:szCs w:val="22"/>
              </w:rPr>
              <w:t xml:space="preserve">Generic Metrics — Architecture Documentation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9999"/>
                <w:sz w:val="18"/>
                <w:szCs w:val="18"/>
              </w:rPr>
              <w:t xml:space="preserve">Internal — Restricted  ·  ARB Ref: EARR-2026-0142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EDMS-GEN-001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Domain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Generic Metrics — Architecture Governance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Solution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Enterprise Document Management System (EDMS) v1.0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Arjun Mehta · Platform SA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Priya Sharma · EA, Digital Infrastructure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v1.0 — For ARB Review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ARB Reference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EARR-2026-0142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15-Apr-2026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Purpose &amp; Scope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This document records how the EDMS v1.0 design adheres to (or consciously deviates from) the bank's enterprise architecture principles, approved patterns, technology standards, and consolidation policies. It is a mandatory ARB artifact under the Generic Metrics domain and provides the governance foundation for all domain-level artifact assessments.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Architecture Principles Adherence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2.1  Enterprise Architecture Principles Assessment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000"/>
        <w:gridCol w:w="3600"/>
        <w:gridCol w:w="760"/>
      </w:tblGrid>
      <w:tr>
        <w:trPr>
          <w:tblHeader/>
        </w:trP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Principle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Principle Statement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EDMS Adherence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Evidence / Deviation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RAG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AP-01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 for reuse — shared platforms preferred over LOB-specific instances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EDMS is designed as a single multi-tenant shared platform serving 7 LOBs, replacing 7 siloed document stores. LOB isolation via tenant partitioning, not separate instances.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AP-02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API-first — all capabilities exposed via versioned, documented APIs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11 EDMS capabilities exposed via REST API v1 with OpenAPI 3.1 spec auto-published to developer portal. No direct DB access from consumers.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AP-03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Cloud-native — leverage managed cloud services over self-managed equivalents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S3 (managed object store), Amazon RDS PostgreSQL (managed DB), Amazon EKS (managed Kubernetes), AWS Transfer Family (managed SFTP), OpenSearch Service (managed search).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AP-04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Security by design — authentication, authorisation, and encryption at every layer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AuthN/AuthZ, TLS 1.3, KMS encryption all designed in. VAPT evidence not yet available (pre-production). RBAC model complete except 3 service accounts. See Security Controls Register.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AP-05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 residency — data must remain within approved geographic boundaries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 bucket region pinning: KYC data to ap-southeast-1 (SG), ap-east-1 (HK), ap-south-1 (IN). AWS Config rule monitors compliance. No cross-region replication of restricted datasets.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AP-06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12-Factor application design for cloud services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10 of 12 factors implemented. Config externalisation (Factor III) uses AWS Secrets Manager. Log streaming (Factor XI) to stdout is partial — 2 services still writing to local log files. Action tracked.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AP-07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Observability — all platform services must emit structured telemetry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Distributed tracing via AWS X-Ray; structured JSON logs; custom CloudWatch metrics per service; ALB access logs; OpenSearch audit log pipeline.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AP-08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Loose coupling — services communicate via defined interfaces; no direct DB sharing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Each microservice owns its data store. No inter-service direct DB calls. All inter-service communication via REST API or event queue.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GREEN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AP-09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technology stack — deviation requires documented waiver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⚠️ PARTIAL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8 of 9 technology choices on approved stack. Golang used for Audit Service (not on approved stack). Waiver submitted — see ADR-APP-02. Stack approval process initiated.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AMBER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AP-10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Backward compatibility — API changes must be non-breaking or version-bumped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API versioning via /v1/ prefix. Breaking change policy documented: 12-month deprecation notice; v2 in parallel before v1 retirement.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GREEN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Approved Patterns Adherence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3.1  Integration Pattern Compliance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200"/>
        <w:gridCol w:w="11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Pattern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Bank Standard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EDMS Usage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Compliance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REST API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REST over HTTPS, OpenAPI 3.x, resource modelling, RFC 7807 errors, OAuth2 scopes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Management API: 11 endpoints, OpenAPI 3.1, OAuth2 JWT scopes, RFC 7807 error format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Async Messaging (MQ)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IBM MQ point-to-point; idempotency key in header; DLQ for failures; TLS channel encryption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MQ Consumer for Trade Finance: idempotency via SHA-256 header; DLQ configured; TLS 1.3 channel; AES-256 message payload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File Transfer (SFTP)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Transfer Family; SSH key auth; PGP-encrypted payload; manifest file with SHA-256 checksum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SFTP Gateway: AWS Transfer Family; SSH cert auth (90-day rotation); PGP-encrypted ZIPs; CSV manifest with SHA-256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Event / Webhook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HTTPS POST; HMAC-SHA256 signature; retry with exponential backoff; idempotency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Notification webhooks: HMAC-SHA256 signature header; 3x retry with backoff; 30s delivery SLO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Batch / ETL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S3-based staging; manifest-driven; audit trail per export; rate-limited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Bulk Export API: S3 presigned URL; audit log entry per export; rate limit 10 req/hr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3.2  Resilience Pattern Compliance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200"/>
        <w:gridCol w:w="11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Resilience Pattern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Standard Requirement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EDMS Implementation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Timeouts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outbound calls must define connect + read timeouts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HTTP: connect 3s / read 30s; AWS S3 SDK: 60s; RDS: pool timeout 10s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Retry with backoff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Exponential backoff with jitter; max 3 retries on 5xx/network errors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Implemented on S3, MQ consumer, and webhook delivery paths; jitter enabled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Circuit Breaker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Circuit breakers required on all synchronous external dependencies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Implemented on S3 path. RDS and OpenSearch paths incomplete.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⚠️ PARTIAL — Action ACT-06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Idempotency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write operations must be idempotent using client-supplied key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SHA-256 content hash as idempotency key on all upload channels; duplicate detection pre-storage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Bulkhead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Thread pool isolation per distinct integration channel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Separate thread pools: UI upload, API upload, MQ consumer, SFTP processor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Dead Letter Queue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Failed async messages must route to DLQ with alerting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MQ consumer DLQ (EDMS.INGEST.DLQ) with CloudWatch alert on DLQ depth &gt; 0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Technology Standards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800"/>
        <w:gridCol w:w="15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Technology Domain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Bank Standard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EDMS Choice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Compliance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Backend Language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Python 3.10+, Java 21 LTS, Node.js 20 LTS on approved list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Python 3.12 (FastAPI), Node.js 20, Java 21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Current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Frontend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React 18.x, TypeScript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React 18.3, TypeScript 5.x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Current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Container Orchestration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Amazon EKS 1.28+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Amazon EKS 1.29 (upgrade to 1.30 required before Nov 2025 EOS)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1.29 ⚠️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⚠️ ACTION REQUIRED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Relational Database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PostgreSQL 15+ on Amazon RDS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Amazon RDS PostgreSQL 16.2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Current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Object Storage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Amazon S3 with SSE-KMS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 with per-LOB CMK (KMS)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Current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Search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OpenSearch Service 2.x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Amazon OpenSearch 2.13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Current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Service Mesh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Istio 1.19+ on EKS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Istio 1.21 (mTLS for all pod-to-pod)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Current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IaC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CDK (TypeScript) or Terraform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AWS CDK TypeScript 2.140.x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Current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COMPLIANT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Non-standard: Golang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on approved stack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Golang 1.22 — Audit Service only</w:t>
            </w:r>
          </w:p>
        </w:tc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1.22 ⚠️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⚠️ WAIVER OPEN — ADR-APP-02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Consolidation &amp; Federation Decisions</w:t>
      </w:r>
    </w:p>
    <w:p>
      <w:pPr>
        <w:spacing w:after="10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EDMS is the bank's strategic response to document store proliferation. The following consolidation decisions were evaluated and approved by the Architecture Forum in Feb 2026: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700"/>
        <w:gridCol w:w="236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Options Considered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Decision Made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Single platform vs. per-LOB instances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(A) One shared EDMS platform
(B) Per-LOB independent deployments
(C) Federated with shared API layer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Option A: Single shared multi-tenant EDMS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TCO 25% lower; consistent policy; LOB isolation via tenant model, not separate infra; supports cross-LOB document sharing (KYC reuse)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New build vs. COTS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(A) Build on AWS native services
(B) Purchase enterprise ECM (OpenText, Documentum)
(C) Extend existing SharePoint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Option A: AWS-native microservices build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Vendor lock-in risk of COTS; SharePoint not fit for API-first multi-channel ingestion; AWS build aligns to cloud-native principle and bank's AWS commitment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Storage: S3 vs. EFS vs. database BLOB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(A) S3 object store
(B) EFS file system
(C) BLOB in PostgreSQL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Option A: S3 with RDS metadata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S3: unlimited scale, 11-nines durability, cost-optimised lifecycle tiers; BLOB in DB would create unmanageable RDS growth; EFS lacks S3's lifecycle management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Search: OpenSearch vs. RDS full-text vs. vendor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(A) OpenSearch Service
(B) PostgreSQL FTS with tsvector
(C) Elasticsearch Cloud (vendor)</w:t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Option A: Amazon OpenSearch Service</w:t>
            </w:r>
          </w:p>
        </w:tc>
        <w:tc>
          <w:tcPr>
            <w:tcW w:type="dxa" w:w="2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OpenSearch: relevance scoring, faceted filters, metadata indexing, and 10M+ document scale; RDS FTS insufficient for cross-LOB federated search volumes; OpenSearch on approved stack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Process Adherence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500"/>
        <w:gridCol w:w="326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Process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PTX / EARR Ticket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Architecture review initiated via EARR ticket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EARR-2026-0142 raised 10-Mar-2026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Architecture Forum Review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Design reviewed at Architecture Forum before ARB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Reviewed 28-Feb-2026; consolidation decisions approved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RAID Log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RAID log maintained and current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✅ EDMS-GEN-002 RAID Log current as of 14-Apr-2026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 Classification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Data classification register submitted before ARB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⚠️ 5 of 7 LOBs submitted; Trade Finance and Risk pending — tracked in RAID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Responsible AI Pathway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AI/ML components require RAI pathway sign-off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N/A — EDMS v1.0 has no AI/ML components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Security Sign-off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Security Architecture sign-off required</w:t>
            </w:r>
          </w:p>
        </w:tc>
        <w:tc>
          <w:tcPr>
            <w:tcW w:type="dxa" w:w="3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⚠️ Security review in progress; VAPT not yet submitted (pre-production)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Summary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Overall Architecture Governance: AMBER — Approved Patterns followed; 3 partial compliance items with time-bound actions. VAPT and EKS upgrade are tracked blockers.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1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Overall RAG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Findings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Architecture Principles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AMBER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Golang waiver open (AP-09); 12-Factor partial (AP-06); Security VAPT pending (AP-04)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Integration Patterns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GREEN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5 integration patterns (REST, MQ, SFTP, Webhook, Batch) compliant with bank standards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Resilience Patterns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AMBER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Circuit breakers incomplete on RDS and OpenSearch paths — action ACT-06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Technology Standards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AMBER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EKS 1.29 approaching EOS (Nov 2025); Golang waiver open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Consolidation Decisions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GREEN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All consolidation decisions documented, evaluated, and approved by Architecture Forum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Process Adherence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AMBER</w:t>
            </w:r>
          </w:p>
        </w:tc>
        <w:tc>
          <w:tcPr>
            <w:tcW w:type="dxa" w:w="5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 LOB data classification registers outstanding; VAPT pre-production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595959"/>
        <w:sz w:val="16"/>
        <w:szCs w:val="16"/>
      </w:rPr>
      <w:t xml:space="preserve">Enterprise Architecture  ·  Page </w:t>
    </w:r>
    <w:r>
      <w:rPr>
        <w:rFonts w:ascii="Arial" w:cs="Arial" w:eastAsia="Arial" w:hAnsi="Arial"/>
        <w:color w:val="595959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595959"/>
        <w:sz w:val="16"/>
        <w:szCs w:val="16"/>
      </w:rPr>
      <w:t xml:space="preserve">EDMS v1.0  ·  Architecture Review Board  ·  EARR-2026-0142  ·  Internal — Restricted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F7C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2026-05-07T09:41:58.813Z</dcterms:created>
  <dcterms:modified xsi:type="dcterms:W3CDTF">2026-05-07T09:41:58.824Z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