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ADR Register &amp; Technology Debt Register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Application Architecture — Architecture Decision Records / Tech Debt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EDMS-APP-003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A — Architecture Decision Records (ADR Register)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register consolidates all Architecture Decision Records (ADRs) across all domains for EDMS v1.0. Each ADR captures a significant design decision, the options considered, the decision made, the rationale, and the consequences. ADRs are written back to Confluence ADR space and CMDB post-ARB approval.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Domain ADRs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200"/>
        <w:gridCol w:w="1800"/>
        <w:gridCol w:w="800"/>
        <w:gridCol w:w="8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 &amp; Options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&amp; Consequences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ADR-BUS-01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Multi-Tenant Platform Model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LOBs have independent document stores. Options: (A) Single shared EDMS, (B) Per-LOB instances, (C) Federated API with separate stores.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Option A: single multi-tenant EDMS with LOB bucket partitioning.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25% TCO reduction; consistent policy enforcement; cross-LOB document reuse (KYC). Consequences: Shared platform failure affects all LOBs — mitigated by 99.95% HA design and multi-AZ deployment.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EA: Priya Sharma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Approval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ADR-BUS-02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Configurable Retention Policy Engine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rules vary per LOB and document class. Options: (A) Configurable policy engine, (B) Hardcoded per LOB, (C) Manual process.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Option A: policy engine with LOB-specific rules configuration.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Regulatory requirements vary by document type and jurisdiction; hardcoding creates risk on regulatory changes. Consequences: Added design complexity in Retention Service; compensated by flexibility.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Lead + 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Approval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ADR-BUS-03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Cross-LOB Document Access — Deny by Default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KYC reuse requires cross-LOB access. Options: (A) Open access within platform, (B) Explicit AccessGrant required, (C) Physical copy per LOB.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Option B: explicit AccessGrant required; no implicit cross-LOB access.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Regulatory requirement — KYC data may not be shared without consent and audit trail. Consequences: Trade Finance must request AccessGrant; adds process step but provides compliance evidence.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+ 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Approval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Architecture ADRs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200"/>
        <w:gridCol w:w="1800"/>
        <w:gridCol w:w="800"/>
        <w:gridCol w:w="8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 &amp; Options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&amp; Consequences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Microservices over Monolith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serves 7 LOBs with different scale requirements. Options: (A) Microservices, (B) Modular monolith, (C) Mini-services.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microservices with independent deployment per service.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Independent scaling (Search scales differently from Ingestion); LOB isolation; separate deployment cadence per service. Consequences: Operational complexity — mitigated by EKS, Istio, centralised observability.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SA: Arjun Mehta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for Audit Service (Waiver)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 handles 100K+ events/day append-only. Options: (A) Python FastAPI, (B) Go (Golang), (C) Java Spring Boot.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Go 1.22 with time-bound waiver. Submit Go for stack approval within 90 days.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Go 40% lower latency, 60% lower memory vs Python in benchmarks for append-only write workloads. Consequences: Not on approved stack — waiver required. Fallback Python design documented. Stack approval expected May-2026.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 + Dev Lead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 days post-ARB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WAIVER OPEN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SPA for UI Portal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Frontend framework choice. Options: (A) React 18 SPA, (B) Angular, (C) Vue.js, (D) Server-side (Next.js).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React 18 SPA with TypeScript.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React on bank approved frontend stack; CDN-cacheable static assets; decoupled deployment from API. Consequences: CORS and CSP headers required — configured in API Gateway.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Virus Scanning Pre-Storage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platform requires document safety controls. Options: (A) ClamAV inline scan, (B) Async scan post-upload, (C) No scan (consumer responsibility).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mandatory inline scan before any S3 write.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Post-upload async scan risks brief window where infected file is accessible. No-scan unacceptable for shared platform. Inline adds ~500ms — within 3s SLO. Consequences: 30s scan timeout maps to SCAN_FAILED status with alert.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Arch +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URLs for Document Download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download delivery. Options: (A) S3 presigned URL (direct), (B) API proxy binary, (C) CloudFront signed URL.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S3 URL (TTL 15 min) returned to caller for direct download.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No API bandwidth cost; lower latency; time-bound access control. Consequences: Requires S3 access from LOB network — confirmed with all 7 LOBs' network teams.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SA: Arjun Mehta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0F7C6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Architecture ADRs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200"/>
        <w:gridCol w:w="1800"/>
        <w:gridCol w:w="800"/>
        <w:gridCol w:w="8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 &amp; Options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&amp; Consequences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Multi-Channel Ingest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LOBs use different integration technologies. Options: (A) REST API only, (B) MQ only, (C) All channels (REST/MQ/SFTP/UI).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all 4 channels as first-class inbound paths.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Trade Finance has MQ investment; Operations batch via SFTP; forcing single channel blocks 3 of 7 LOBs. Consequences: More surface area — each channel independently secured and monitored.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SA: Arjun Mehta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 via SHA-256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Prevent duplicate documents from MQ retries and SFTP re-drops. Options: (A) SHA-256 content hash, (B) Caller-supplied UUID, (C) No idempotency.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SHA-256 of document binary as idempotency key, all channels.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SHA-256 is deterministic from content; naturally deduplicates identical re-uploads across channels without caller coordination. Consequences: Performance cost of hash computation (~10ms for 10MB) — acceptable.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 + Dev Lead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URLs for Downloads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 ADR-APP-05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presigned URL for download (integration perspective)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rationale as ADR-APP-05. Also: reduces load on API gateway for high-volume download LOBs.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SA: Arjun Mehta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HMAC-SHA256 Signed Webhooks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Outbound notifications to LOBs. Options: (A) Unsigned HTTPS POST, (B) HMAC-SHA256 signed, (C) Mutual TLS.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HMAC-SHA256 per-LOB shared secret; secrets in AWS Secrets Manager.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Mutual TLS requires certificate management for every LOB webhook receiver. HMAC-SHA256 is simpler and sufficient for LOB webhook authentication. Per-LOB secret enables independent rotation. Consequences: LOBs must implement signature verification — documented in integration guide.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 + Security Arch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ADR-INT-05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CDC via Debezium for Search Sync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index consistency. Options: (A) Dual-write from Metadata Service, (B) Debezium CDC from RDS WAL, (C) Scheduled full re-index.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Debezium CDC from RDS WAL → Kafka → OpenSearch connector.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Dual-write risks partial failure (DB written, index not). Scheduled re-index has too long a lag. CDC from WAL: RDS is source of truth; OpenSearch is derived; eventual consistency (avg 10s lag) acceptable for search. Consequences: Debezium operational complexity; Kafka required in stack.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Sprint 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 — IMPLEMENTING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Architecture ADRs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200"/>
        <w:gridCol w:w="1800"/>
        <w:gridCol w:w="800"/>
        <w:gridCol w:w="8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 &amp; Options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&amp; Consequences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ADR-DATA-01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JSONB for Extensible Metadata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LOBs need LOB-specific metadata fields. Options: (A) PostgreSQL JSONB, (B) Entity-Attribute-Value (EAV) table, (C) Per-LOB schema.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JSONB column for extensible metadata.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JSONB indexed with GIN; avoids schema migration per LOB; query-able with operators; compatible with OpenSearch sync. EAV: query complexity. Per-LOB schema: migration overhead per new LOB. Consequences: No compile-time schema enforcement — mitigated by JSON Schema validation at API layer.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ADR-DATA-02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Native Versioning + App Versioning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version management approach. Options: (A) Application versioning only, (B) S3 native versioning only, (C) Both.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Both: S3 versioning enabled AND application-level DocumentVersion entity.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Defense-in-depth: S3 versioning prevents accidental permanent deletion by application bugs; application versioning provides semantic version history and user-visible version commentary. Consequences: Dual version management — reconciliation process documented.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ADR-DATA-03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Audit Log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tamper-resistance. Options: (A) Mutable audit table (UPDATE/DELETE allowed), (B) Append-only RDS partition + Kinesis, (C) External immutable log store.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PostgreSQL partition (INSERT only enforced via RLS) + Kinesis Firehose replication.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Regulatory requirement for tamper-evident trail. Row-level security (RLS) policy on audit table: INSERT permitted, UPDATE/DELETE blocked at DB level. Kinesis provides second immutable copy in SIEM. Consequences: Audit table grows unbounded — partitioned by month; archived to S3 Glacier after 2 years.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Security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ADR-DATA-04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Tombstoning on Disposal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disposal design for GDPR. Options: (A) Delete both S3 and metadata, (B) Delete S3 only; tombstone metadata, (C) Archive both to cold storage.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S3 binary object; tombstone metadata record (status=DISPOSED, PII fields nulled).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GDPR right-to-erasure met by S3 deletion. Auditors need evidence that document existed and when disposed — served by metadata tombstone. PII fields must be nulled in metadata to fully satisfy GDPR. Consequences: DPO certification required before production. Data Arch + Legal to confirm null-out logic.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Legal + DPO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production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DPO cert pending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&amp; Security ADRs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600"/>
        <w:gridCol w:w="1200"/>
        <w:gridCol w:w="1800"/>
        <w:gridCol w:w="800"/>
        <w:gridCol w:w="8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 &amp; Options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 &amp; Consequences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Multi-Region DR (SG Primary / SY DR)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region selection. Options: (A) SG primary + AU-SY DR, (B) SG primary + EU-IE DR, (C) Single region.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(SG) primary; ap-southeast-2 (Sydney) warm standby DR.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RBI data localisation mandates SG as primary. Sydney satisfies DR without leaving APAC. Warm standby balances cost vs. 4h RTO. Active-active exceeds cost envelope. Consequences: 30s-60s replication lag to DR; RPO 1h via RDS PITR meets requirement.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 + 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Per-LOB KMS Customer Managed Key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key isolation. Options: (A) One shared KMS key, (B) Per-LOB CMK, (C) Per-document CMK.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Separate AWS KMS CMK per LOB; cross-LOB key sharing prohibited.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Regulatory isolation; LOB decommission requires only key deletion (no data migration); supports RBI/MAS regulatory enquiry isolation. Consequences: 7 CMKs initially; management overhead mitigated by AWS KMS auto-rotation (annual) and IaC-managed provisioning.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 + Security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TypeScript for all IaC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IaC tooling. Options: (A) AWS CDK TypeScript, (B) Terraform, (C) CloudFormation direct.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TypeScript v2 for all infrastructure provisioning.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CDK on bank's approved IaC stack; TypeScript provides type safety; CDK constructs abstract CloudFormation complexity; reproducible environments. Consequences: CDK learning curve for new engineers — mitigated by internal CDK training programme.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ADR-SEC-01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over API Keys for REST Auth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authentication. Options: (A) API keys (long-lived), (B) OAuth2 JWT, (C) Mutual TLS.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OAuth2 JWT mandatory; API keys permitted only during transition period (3 LOBs) with EA approval until Jun-2026.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JWT: short TTL (15 min), auditable identity, scope enforcement. API keys: long-lived, hard to rotate, no per-call identity. mTLS: excessive certificate management overhead. Consequences: 3 legacy LOBs in API key transition — higher risk; managed via dedicated monitoring.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 + Security Arch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Jun-2026 (full JWT)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 — TRANSITION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ADR-SEC-02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Scanning as Platform Control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responsibility. Options: (A) Platform-level mandatory scan, (B) LOB opt-in scan, (C) Consumer-side validation.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Platform-level ClamAV scan mandatory for all uploads, all channels.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Rationale: Shared multi-LOB platform: one infected document accessible by all LOBs. Platform-level control is the only way to enforce consistently. Consequences: ~500ms added to upload path — within 3s SLO.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Arch + SA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B — Technology Debt Register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register tracks all known technology debt items for EDMS v1.0 — EOS/EoL platforms, pending upgrades, license concerns, and documented deviations. Each item has an owner, target remediation date, and impact if not addressed.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900"/>
        <w:gridCol w:w="800"/>
        <w:gridCol w:w="1800"/>
        <w:gridCol w:w="900"/>
        <w:gridCol w:w="1000"/>
        <w:gridCol w:w="1500"/>
        <w:gridCol w:w="800"/>
        <w:gridCol w:w="9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TD ID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EOS / Risk Date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if Not Addressed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EKS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Upgrade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1.29 reaches end-of-support November 2025. Security patches cease. Violates Bank Security Standard v3.1.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Nov 2025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1.30 (then 1.31 LTS stream)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 — Unsupported container orchestration in production. Security patch gap. Regulatory finding likely.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Target Oct 2025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Library Upgrade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 library 9.3 reaches EOS December 2025. Security fixes cease. Used by MQ Consumer Service.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 2025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 9.4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MQ integration channel unsupported. Security vulnerability risk post-EOS.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Arch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Target Oct 2025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Upgrade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LTS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 reaches end of Active LTS support April 2026. Used by Metadata Service and Notification Service.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 2026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22 LTS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LTS support ends; patch cycle changes. Plan upgrade Sprint 9.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 — Sprint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(Audit Service)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Stack Approval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1.22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not on approved technology stack. Waiver submitted (ADR-APP-02). If waiver denied, rewrite required.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 days post-ARB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(stack approval) or Python 3.12 fallback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Rewrite effort ~4 weeks if waiver denied. Fallback Python design documented.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 + Dev Lead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WAIVER OPEN — Decision May 2026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Spring Boot 2.x (Legacy — not EDMS)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 / Dependency Context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 (Retail's existing system)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Retail's existing KYC store is on Spring Boot 2.4 (EOS Jan 2024). This is NOT EDMS — it is the system EDMS replaces. EDMS uses Spring Boot 3.2.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Already EOS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migration eliminates this debt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for current Retail system — resolved by EDMS migration.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LOB SA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RESOLVED by EDMS migration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Definitions Currency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Operational Maintenance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Auto-updated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virus definitions must be updated daily. Container image rebuild pipeline must remain active.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Ongoing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image rebuild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Stale definitions reduce security efficacy. Daily rebuild confirmed in CI/CD.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 — Confirmed in Dev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Breakers (RDS, OpenSearch paths)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 Debt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breakers implemented on S3 path only. RDS and OpenSearch synchronous call paths lack circuit breakers. Cascade failure risk.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staging cutover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tenacity circuit breaker on all external call paths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DB failure cascades across dependent services.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Sprint 7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Coverage below 80%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Quality Debt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services (Metadata, Retention, Notification, UI Portal) below 80% unit test coverage threshold (76-79%).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production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 80% per service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Increased regression risk in lifecycle-critical code.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Sprint 8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TD-009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SAST not in CI/CD pipeline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Debt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SonarQube SAST configured manually only. Not integrated as a pipeline gate. Security vulnerabilities may reach staging undetected.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production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SonarQube + Semgrep as mandatory pipeline stage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Security shift-right risk; vulnerabilities may reach production.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 — Sprint 8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TD-010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GPL-2.0 License — python-clamd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License Risk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1.0.2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python-clamd (ClamAV Python client) uses GPL-2.0 license. Legal team reviewing compatibility with bank's internal distribution policy.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Review: Jun 2026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 with clamd-client (MIT) or direct socket implementation if GPL conflicts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Legal review in progress. GPL-2.0 does not propagate in API usage model. Mitigation: internal deployment, not distribution.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+ DevSecOps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LEGAL REVIEW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2026-05-07T09:42:05.312Z</dcterms:created>
  <dcterms:modified xsi:type="dcterms:W3CDTF">2026-05-07T09:42:05.312Z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