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400"/>
              <w:left w:type="dxa" w:w="400"/>
              <w:bottom w:type="dxa" w:w="400"/>
              <w:right w:type="dxa" w:w="400"/>
            </w:tcMar>
          </w:tcPr>
          <w:p>
            <w:pPr>
              <w:jc w:val="center"/>
            </w:pPr>
            <w:r>
              <w:rPr>
                <w:rFonts w:ascii="Arial" w:cs="Arial" w:eastAsia="Arial" w:hAnsi="Arial"/>
                <w:b/>
                <w:bCs/>
                <w:color w:val="FFFFFF"/>
                <w:sz w:val="42"/>
                <w:szCs w:val="42"/>
              </w:rPr>
              <w:t xml:space="preserve">Engineering &amp; DevSecOps — Pipeline &amp; Quality Design</w:t>
            </w:r>
          </w:p>
          <w:p>
            <w:pPr>
              <w:jc w:val="center"/>
            </w:pPr>
            <w:r>
              <w:rPr>
                <w:rFonts w:ascii="Arial" w:cs="Arial" w:eastAsia="Arial" w:hAnsi="Arial"/>
                <w:color w:val="A8C4E0"/>
                <w:sz w:val="26"/>
                <w:szCs w:val="26"/>
              </w:rPr>
              <w:t xml:space="preserve">Enterprise Document Management System — EDMS v1.0</w:t>
            </w:r>
          </w:p>
          <w:p>
            <w:pPr>
              <w:jc w:val="center"/>
            </w:pPr>
            <w:r>
              <w:t xml:space="preserve"> </w:t>
            </w:r>
          </w:p>
          <w:p>
            <w:pPr>
              <w:jc w:val="center"/>
            </w:pPr>
            <w:r>
              <w:rPr>
                <w:rFonts w:ascii="Arial" w:cs="Arial" w:eastAsia="Arial" w:hAnsi="Arial"/>
                <w:color w:val="CCDDEE"/>
                <w:sz w:val="22"/>
                <w:szCs w:val="22"/>
              </w:rPr>
              <w:t xml:space="preserve">Engineering &amp; DevSecOps — CI/CD Pipeline Design</w:t>
            </w:r>
          </w:p>
          <w:p>
            <w:pPr>
              <w:jc w:val="center"/>
            </w:pPr>
            <w:r>
              <w:rPr>
                <w:rFonts w:ascii="Arial" w:cs="Arial" w:eastAsia="Arial" w:hAnsi="Arial"/>
                <w:b/>
                <w:bCs/>
                <w:color w:val="FF9999"/>
                <w:sz w:val="18"/>
                <w:szCs w:val="18"/>
              </w:rPr>
              <w:t xml:space="preserve">Internal — Restricted  ·  ARB Ref: EARR-2026-0142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69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ID</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EDMS-DSOPS-001</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Domain</w:t>
            </w:r>
          </w:p>
        </w:tc>
        <w:tc>
          <w:tcPr>
            <w:tcW w:type="dxa" w:w="6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Engineering &amp; DevSecOps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Solution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Enterprise Document Management System (EDMS) v1.0</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w:t>
            </w:r>
          </w:p>
        </w:tc>
        <w:tc>
          <w:tcPr>
            <w:tcW w:type="dxa" w:w="6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Arjun Mehta · Platform SA  ·  Reviewed: DevSecOps Lead, EA</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Version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v1.0 — For ARB Review</w:t>
            </w:r>
          </w:p>
        </w:tc>
      </w:tr>
      <w:tr>
        <w:tc>
          <w:tcPr>
            <w:tcW w:type="dxa" w:w="2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ARB Reference</w:t>
            </w:r>
          </w:p>
        </w:tc>
        <w:tc>
          <w:tcPr>
            <w:tcW w:type="dxa" w:w="6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EARR-2026-0142</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ARB Focus Note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This document covers pipeline architecture design, quality strategy, and security integration approach — not implementation status metrics. ARB review is on design decisions, patterns, and gaps.</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1. DevSecOps Architecture Principles</w:t>
      </w:r>
    </w:p>
    <w:p>
      <w:pPr>
        <w:spacing w:after="100"/>
      </w:pPr>
      <w:r>
        <w:rPr>
          <w:rFonts w:ascii="Arial" w:cs="Arial" w:eastAsia="Arial" w:hAnsi="Arial"/>
          <w:color w:val="595959"/>
          <w:sz w:val="20"/>
          <w:szCs w:val="20"/>
        </w:rPr>
        <w:t xml:space="preserve">EDMS DevSecOps design is guided by three principles: (1) Shift security left — security checks as early as possible in the development workflow. (2) GitOps as deployment truth — all changes through Git; no manual deployments. (3) Progressive environments — code promoted through environments only on passing quality gates, never bypassed.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060"/>
      </w:tblGrid>
      <w:tr>
        <w:trPr>
          <w:tblHeader/>
        </w:trPr>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Principle</w:t>
            </w:r>
          </w:p>
        </w:tc>
        <w:tc>
          <w:tcPr>
            <w:tcW w:type="dxa" w:w="3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Design Expression in EDMS</w:t>
            </w:r>
          </w:p>
        </w:tc>
        <w:tc>
          <w:tcPr>
            <w:tcW w:type="dxa" w:w="20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Standard Alignment</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Shift Security Left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Secret scanning on every commit (TruffleHog). SAST gate on PR merge (SonarQube + Semgrep — to be integrated Sprint 8). Dependency CVE scan on every build (Snyk). ECR image scan on push.</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DevSecOps Standard v2.1 — security gates pre-deploy</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GitOps as Deployment Truth</w:t>
            </w:r>
          </w:p>
        </w:tc>
        <w:tc>
          <w:tcPr>
            <w:tcW w:type="dxa" w:w="3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ArgoCD as single deployment controller. All production changes via Git PR + ArgoCD sync. No kubectl apply, no console changes. ArgoCD sync status = source of truth.</w:t>
            </w:r>
          </w:p>
        </w:tc>
        <w:tc>
          <w:tcPr>
            <w:tcW w:type="dxa" w:w="2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DevSecOps Standard v2.1 — immutable deployment audit trail</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Progressive Environment Promotion</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Code path: Dev → PR (auto-test) → Staging (integration tests) → UAT (LOB sign-off) → Production (change board). Each promotion requires passing gate — no skipping. Rollback via Git revert + ArgoCD sync.</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Change Management Policy — environment gating</w:t>
            </w:r>
          </w:p>
        </w:tc>
      </w:tr>
      <w:tr>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Infrastructure as Code</w:t>
            </w:r>
          </w:p>
        </w:tc>
        <w:tc>
          <w:tcPr>
            <w:tcW w:type="dxa" w:w="3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infrastructure in AWS CDK. No manual console changes. CDK diff reviewed in PR. AWS Config rule alerts on drift.</w:t>
            </w:r>
          </w:p>
        </w:tc>
        <w:tc>
          <w:tcPr>
            <w:tcW w:type="dxa" w:w="2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Architecture Principle AP-04 — IaC mandate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Immutable Container Images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Docker images tagged with git SHA + semver. No :latest in production. Image promoted across environments (not rebuilt per environment).</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DevSecOps Standard v2.1 — artefact immutability</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2. CI/CD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2.1  Pipeline Stage Design</w:t>
            </w:r>
          </w:p>
        </w:tc>
      </w:tr>
    </w:tbl>
    <w:p>
      <w:pPr>
        <w:spacing w:after="100"/>
      </w:pPr>
      <w:r>
        <w:t xml:space="preserve"/>
      </w:r>
    </w:p>
    <w:p>
      <w:pPr>
        <w:spacing w:after="100"/>
      </w:pPr>
      <w:r>
        <w:rPr>
          <w:rFonts w:ascii="Arial" w:cs="Arial" w:eastAsia="Arial" w:hAnsi="Arial"/>
          <w:color w:val="595959"/>
          <w:sz w:val="20"/>
          <w:szCs w:val="20"/>
        </w:rPr>
        <w:t xml:space="preserve">The pipeline is implemented in GitHub Actions with ArgoCD for deployment. Each stage has a defined gate condition — failure blocks progression. The pipeline is designed to be environment-agnostic: the same stages run for all services with service-specific configuration.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600"/>
        <w:gridCol w:w="2200"/>
        <w:gridCol w:w="1200"/>
        <w:gridCol w:w="1160"/>
      </w:tblGrid>
      <w:tr>
        <w:trPr>
          <w:tblHeader/>
        </w:trPr>
        <w:tc>
          <w:tcPr>
            <w:tcW w:type="dxa" w:w="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Stage</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Trigger</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Tooling</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Gate Condition (must pass to proceed)</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Environment Impact</w:t>
            </w:r>
          </w:p>
        </w:tc>
        <w:tc>
          <w:tcPr>
            <w:tcW w:type="dxa" w:w="1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Design Status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 — PR Checks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Pull request opened or updated against any branch</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GitHub Actions; TruffleHog; ESLint/Pylint; PR title lint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 secrets detected; linting passes; PR title follows conventional commit format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 pre-merge</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 — Secret Scanning</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Every commit (including PR branches)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TruffleHog — scans for API keys, connection strings, private keys in code and git history</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Zero secrets detected. Any secret found: pipeline fails; JIRA security ticket auto-raised; developer notified.</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 pre-merge</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3 — SAST (Static Analysis)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 merge to main/release branch</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SonarQube (code quality + security) + Semgrep (OWASP rules). Quality Gate: 0 BLOCKER, 0 CRITICAL. Coverage gate: ≥ 80% line coverage.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Quality gate passes; coverage ≥ 80%. BLOCKER or CRITICAL issues block merge.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 pre-deploy</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 Integration to pipeline pending (Sprint 8). Currently manual SonarQube only.</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4 — Dependency Vulnerability Scan</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Every build (triggered by merge to main)</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Snyk SCA + OWASP Dependency-Check. CRITICAL CVE: pipeline block. HIGH CVE: warning with 14-day remediation SLA.</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Zero CRITICAL CVEs in production dependencies. HIGH CVEs tracked with remediation plan.</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 pre-build</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5 — Unit Tests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Every build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pytest (Python), Jest (Node.js/React), JUnit (Java). Coverage threshold: ≥ 80% line coverage per service.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tests pass; coverage ≥ 80%. Failure blocks build.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 isolated test containers</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4 services below threshold — see Action ACT-10.</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6 — Container Build</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Passing unit tests + scans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Docker multi-stage build (build → test → production layer). Distroless base images for production layers. Image tagged: {service}:{git-sha}-{semver}</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Image build successful; multi-stage build produces minimal production image.</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ECR — new image pushed</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7 — Container Image Scan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Post-image build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AWS ECR image scanning (Grype). CRITICAL: pipeline block. HIGH: warning.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Zero CRITICAL CVEs in final image. Current: 0 CRITICAL, 2 HIGH (tracked with mitigations).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ECR — scan result on image</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8 — Integration Tests</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Deploy to Staging (auto on merge to main)</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pytest + Testcontainers (real DB, S3 via localstack, MQ). Covers: upload → retrieve → search → version → delete → audit lifecycle for each integration channel.</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integration tests pass. Any failure rolls back Staging deployment via ArgoCD.</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environment</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9 — DAST (Dynamic Analysis)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deployment stabilised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OWASP ZAP (automated scan against Staging API endpoints). ZAP active scan: all 14 REST API endpoints + MQ interface test harness.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HIGH/CRITICAL DAST findings on any scanned endpoint. Current coverage: 60% — target 100% before production.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 no production impact</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 Partial. Sprint 9 target: 100% coverage.</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 — Performance Tests</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deployment (weekly gate)</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k6 load test suite: 3 scenarios (normal load 100 concurrent, peak load 500 concurrent, burst 2000 concurrent). SLO assertion: p95 &lt; 3s upload, p95 &lt; 2s retrieval.</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k6 SLO assertions pass at 500 concurrent. 2000 concurrent test must pass before production (Action ACT-15).</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 isolated load test namespace</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2000-concurrent test pending.</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11 — UAT Gate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Manual trigger after Staging sign-off</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ArgoCD manual promotion; LOB SA UAT sign-off checklist in GitHub PR comment; EA final review.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LOB SA sign-off for affected LOBs. EA approval comment in PR. No open BLOCKER/HIGH issues.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UAT environment</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r>
        <w:tc>
          <w:tcPr>
            <w:tcW w:type="dxa" w:w="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12 — Production Deployment</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Change board approval + ArgoCD manual sync</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ArgoCD GitOps sync to edms-prod namespace. Deployment window: Tuesdays 22:00-04:00 SGT. Change management ticket reference required.</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Change board approval on record. Deployment window active. ArgoCD sync triggers rolling update (0-downtime, max unavailable = 0).</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Production — rolling update</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&amp; IMPLEMENTED</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3.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1860"/>
      </w:tblGrid>
      <w:tr>
        <w:trPr>
          <w:tblHeader/>
        </w:trPr>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Branch</w:t>
            </w:r>
          </w:p>
        </w:tc>
        <w:tc>
          <w:tcPr>
            <w:tcW w:type="dxa" w:w="2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Protection Rules</w:t>
            </w:r>
          </w:p>
        </w:tc>
        <w:tc>
          <w:tcPr>
            <w:tcW w:type="dxa" w:w="18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Deploy Target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main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Integration branch — all feature PRs merge here. Represents latest tested code.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 2 PR approvals; passing CI gates 1-8; linear history.</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Auto-deploy to Staging on merge</w:t>
            </w:r>
          </w:p>
        </w:tc>
      </w:tr>
      <w:tr>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release/{version}</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Release candidate branch cut from main. Used for UAT and production release.</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 1 EA approval; passing all CI gates 1-10; no BLOCKER issues.</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Manual deploy to UAT; ArgoCD manual sync to Production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feature/{ticket}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Feature development branch per JIRA ticket. Short-lived (&lt; 2 week lifespan).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 developer branch. Auto-deleted after merge.</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 environment (manual)</w:t>
            </w:r>
          </w:p>
        </w:tc>
      </w:tr>
      <w:tr>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hotfix/{ticket}</w:t>
            </w:r>
          </w:p>
        </w:tc>
        <w:tc>
          <w:tcPr>
            <w:tcW w:type="dxa" w:w="2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Emergency production fix. Cut from release branch, not main.</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 2 approvals including DevSecOps Lead; expedited CI gates 1-8.</w:t>
            </w:r>
          </w:p>
        </w:tc>
        <w:tc>
          <w:tcPr>
            <w:tcW w:type="dxa" w:w="18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Production via emergency change ticket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infra/{ticket}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Infrastructure (CDK) change branch</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 Infra Lead + EA approval; CDK diff reviewed in PR.</w:t>
            </w:r>
          </w:p>
        </w:tc>
        <w:tc>
          <w:tcPr>
            <w:tcW w:type="dxa" w:w="1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infra first; then production via change ticket</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4. Deployment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4.1  Zero-Downtime Deployment via Rolling Update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760"/>
      </w:tblGrid>
      <w:tr>
        <w:trPr>
          <w:tblHeader/>
        </w:trPr>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Deployment Aspect</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Design Decision</w:t>
            </w:r>
          </w:p>
        </w:tc>
        <w:tc>
          <w:tcPr>
            <w:tcW w:type="dxa" w:w="37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Implementation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Deployment Strategy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Kubernetes Rolling Update (no blue-green initially; blue-green for major versions)</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maxUnavailable: 0; maxSurge: 1. This ensures at least current replica count running during update.</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Health Check Gates</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Pod must pass readiness probe before receiving traffic. Liveness probe restarts unhealthy pods.</w:t>
            </w:r>
          </w:p>
        </w:tc>
        <w:tc>
          <w:tcPr>
            <w:tcW w:type="dxa" w:w="3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Readiness: HTTP GET /health/ready (200 OK). Liveness: HTTP GET /health/live. Startup probe for slow-start services (MQ Consumer Java).</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Rollback Mechanism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Git revert + ArgoCD auto-sync on revert commit</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ArgoCD: auto-sync enabled. Git revert triggers re-sync within 3 minutes. Manual: ArgoCD UI rollback to previous sync.</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Database Migrations</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Flyway (Java) / Alembic (Python) for schema migrations. Migrations must be backward-compatible (no column drops in same release as code deploy).</w:t>
            </w:r>
          </w:p>
        </w:tc>
        <w:tc>
          <w:tcPr>
            <w:tcW w:type="dxa" w:w="3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Migration runs as Kubernetes Job pre-deploy. Failure blocks pod rollout. Backward-compatible: new column added in v1, old code still works; column used in v2.</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Feature Flags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Feature flags via environment variables for progressive feature rollout. Platform-level flags managed via AWS AppConfig.</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Feature flags allow staged rollout per LOB. High-risk features (e.g., retention disposal logic changes) enabled one LOB at a time.</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Secrets Rotation</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Secrets rotated via AWS Secrets Manager Lambda. Pods pick up new secrets on restart (not live rotation).</w:t>
            </w:r>
          </w:p>
        </w:tc>
        <w:tc>
          <w:tcPr>
            <w:tcW w:type="dxa" w:w="3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Rotation trigger: Secrets Manager rotation Lambda invokes secret rotation. Pod restart: rolling update post-rotation (automated via ArgoCD hook).</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5. Identity, Secrets &amp; Config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1660"/>
      </w:tblGrid>
      <w:tr>
        <w:trPr>
          <w:tblHeader/>
        </w:trPr>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Concern</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Approach</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Standard Alignment</w:t>
            </w:r>
          </w:p>
        </w:tc>
        <w:tc>
          <w:tcPr>
            <w:tcW w:type="dxa" w:w="1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Application Secrets (DB passwords, API keys, MQ creds)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secrets stored in AWS Secrets Manager. Services access via IRSA + Secrets Manager API. No secrets in environment variables, Kubernetes Secrets, or source code.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Security Standard v3.1 Section 2.4</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IMPLEMENTED — TruffleHog confirms no secrets in code</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Configuration (non-secret)</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Non-sensitive configuration via Kubernetes ConfigMaps managed in Git (plain values). Environment-specific config via CDK context parameters.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12-Factor App, Factor III (Config)</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IMPLEMENTED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Pod Identity</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Kubernetes IRSA (IAM Roles for Service Accounts). Each service has its own IAM role with minimum required AWS permissions. No shared node instance profiles.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Security Standard v3.1 Section 2.3 (Least Privilege)</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IMPLEMENTED</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Container Runtime Security</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OPA Gatekeeper policies: no privileged containers; no hostNetwork; no hostPID; read-only root filesystem for production services.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CIS Kubernetes Benchmark</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DESIGNED. OPA Gatekeeper policies authored; to be enforced in prod from Day 1.</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Service-to-Service Auth</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Istio mTLS (mutual TLS) for all pod-to-pod communication within EKS. Service identity via Istio SPIFFE/X.509 certificates.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Bank Security Standard v3.1 Section 3.1 (mTLS)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IMPLEMENTED — Istio PeerAuthentication STRICT</w:t>
            </w:r>
          </w:p>
        </w:tc>
      </w:tr>
      <w:tr>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Log &amp; Config Separation (12-Factor XI)</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services log to stdout/stderr only. Log collection via Fluent Bit DaemonSet → CloudWatch Logs → OpenSearch (centralised). No local log files in container.</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12-Factor App, Factor XI (Logs)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PARTIAL — 2 services (Metadata, Retention) still writing to local log files. Action ACT-16.</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6. Quality Strategy (Architecture Level)</w:t>
      </w:r>
    </w:p>
    <w:p>
      <w:pPr>
        <w:spacing w:after="100"/>
      </w:pPr>
      <w:r>
        <w:rPr>
          <w:rFonts w:ascii="Arial" w:cs="Arial" w:eastAsia="Arial" w:hAnsi="Arial"/>
          <w:color w:val="595959"/>
          <w:sz w:val="20"/>
          <w:szCs w:val="20"/>
        </w:rPr>
        <w:t xml:space="preserve">The following quality strategy defines the architecture of quality assurance for EDMS — the types of testing, their purpose, and how they fit into the pipeline. Detailed test execution status and metrics are tracked separately. The ARB focus is on the design adequacy of the quality architecture.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200"/>
        <w:gridCol w:w="1200"/>
        <w:gridCol w:w="1660"/>
      </w:tblGrid>
      <w:tr>
        <w:trPr>
          <w:tblHeader/>
        </w:trPr>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Layer</w:t>
            </w:r>
          </w:p>
        </w:tc>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1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Scope</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Trigger in Pipeline</w:t>
            </w:r>
          </w:p>
        </w:tc>
        <w:tc>
          <w:tcPr>
            <w:tcW w:type="dxa" w:w="1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Tooling</w:t>
            </w:r>
          </w:p>
        </w:tc>
        <w:tc>
          <w:tcPr>
            <w:tcW w:type="dxa" w:w="16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SLO / Threshold</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Unit Tests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Validate individual service logic, business rules, and error handling in isolation.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service methods; business logic; error paths; edge cases.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Every build (Stage 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pytest / Jest / JUnit</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80% line coverage per service; 0 test failures</w:t>
            </w:r>
          </w:p>
        </w:tc>
      </w:tr>
      <w:tr>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Integration Tests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Validate service interactions, channel integrations, and end-to-end document lifecycle across real infrastructure components.</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Upload → retrieve → version → search → delete → audit for each channel (REST, MQ, SFTP, UI).</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deployment (Stage 8)</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pytest + Testcontainers (real S3 via localstack, real RDS, real MQ)</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100% critical path tests pass; p95 &lt; 3s upload; p95 &lt; 2s retrieval</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Contract Tests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Prevent integration regressions between EDMS API and LOB consumer systems.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14 REST API endpoints; MQ message schema; Webhook event schema.</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 merge to main (Stage 3) — planned Sprint 10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Pact framework (consumer-driven contract tests)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 contract violations; planned Q2 2026</w:t>
            </w:r>
          </w:p>
        </w:tc>
      </w:tr>
      <w:tr>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Load / Performance Tests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Validate SLO compliance under expected and peak load conditions.</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Normal (100 concurrent), Peak (500 concurrent), Burst (2000 concurrent, year-end scenario).</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Weekly on Staging; mandatory before production (Stage 10)</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k6 (scripted load scenarios with assertions)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p95 &lt; 3s upload, p95 &lt; 2s retrieval at 500 concurrent; 2000-concurrent test must pass before production</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Security Tests (DAST)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Identify exploitable vulnerabilities in deployed API endpoints.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14 REST API endpoints; authentication bypass; injection; broken access control; insecure direct object reference.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Staging deployment (Stage 9)</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OWASP ZAP (automated active scan)</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 HIGH/CRITICAL findings; 100% endpoint coverage before production</w:t>
            </w:r>
          </w:p>
        </w:tc>
      </w:tr>
      <w:tr>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Chaos Engineering</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Validate resilience design and HA recovery under component failures.</w:t>
            </w:r>
          </w:p>
        </w:tc>
        <w:tc>
          <w:tcPr>
            <w:tcW w:type="dxa" w:w="1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S3 outage simulation; RDS failover; EKS pod kill; AZ failure; Kinesis disruption.</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Monthly (post-production launch) — Q2 2026 onwards</w:t>
            </w:r>
          </w:p>
        </w:tc>
        <w:tc>
          <w:tcPr>
            <w:tcW w:type="dxa" w:w="1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AWS Fault Injection Service (FIS)</w:t>
            </w:r>
          </w:p>
        </w:tc>
        <w:tc>
          <w:tcPr>
            <w:tcW w:type="dxa" w:w="16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Platform recovers within defined SLA targets (HA NFRs); no data loss scenarios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DR Test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Validate RTO 4h and RPO 1h targets are achievable with current DR design.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Full production → DR failover; data integrity check; service restoration; failback.</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Annual mandatory (Q3 2026 first drill — before production launch)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Manual runbook INFRA-RB-001 + automated DR health check scripts</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RTO ≤ 4 hours; RPO ≤ 1 hour; zero data corruption</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7. Threat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9B1C1C" w:val="clear"/>
            <w:tcMar>
              <w:top w:type="dxa" w:w="100"/>
              <w:left w:type="dxa" w:w="160"/>
              <w:bottom w:type="dxa" w:w="100"/>
              <w:right w:type="dxa" w:w="160"/>
            </w:tcMar>
          </w:tcPr>
          <w:p>
            <w:r>
              <w:rPr>
                <w:rFonts w:ascii="Arial" w:cs="Arial" w:eastAsia="Arial" w:hAnsi="Arial"/>
                <w:b/>
                <w:bCs/>
                <w:color w:val="FFFFFF"/>
                <w:sz w:val="22"/>
                <w:szCs w:val="22"/>
              </w:rPr>
              <w:t xml:space="preserve">7.1  STRIDE Analysis — Top Threats &amp; Mitigations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800"/>
        <w:gridCol w:w="800"/>
        <w:gridCol w:w="2200"/>
        <w:gridCol w:w="1160"/>
      </w:tblGrid>
      <w:tr>
        <w:trPr>
          <w:tblHeader/>
        </w:trPr>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Threat</w:t>
            </w:r>
          </w:p>
        </w:tc>
        <w:tc>
          <w:tcPr>
            <w:tcW w:type="dxa" w:w="10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STRIDE Category</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Likelihood</w:t>
            </w:r>
          </w:p>
        </w:tc>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Impact</w:t>
            </w:r>
          </w:p>
        </w:tc>
        <w:tc>
          <w:tcPr>
            <w:tcW w:type="dxa" w:w="2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Mitigation (Design)</w:t>
            </w:r>
          </w:p>
        </w:tc>
        <w:tc>
          <w:tcPr>
            <w:tcW w:type="dxa" w:w="1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Residual Risk</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Unauthorised cross-LOB document access via API</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Elevation of Privilege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RBAC enforced at API Gateway (Lambda authoriser) + Service layer + S3 bucket policy (IAM deny cross-LOB). AccessGrant table required for any cross-LOB access.</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 3-layer enforcement; audit log on every access. VAPT will validate (Jul-2026).</w:t>
            </w:r>
          </w:p>
        </w:tc>
      </w:tr>
      <w:tr>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Malicious document upload (malware injection)</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Tampering</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ClamAV inline virus scan before any S3 write. File type whitelist (MIME + extension). File size limit (100 MB). Malformed file validation by Ingestion Service.</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 Inline scan with current definitions (daily update). Scan timeout → FAILED_SCAN (not stored).</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JWT token theft / credential compromise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Spoofing</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CRITICAL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Short JWT TTL (15 min). RS256 asymmetric signing (Cognito-managed keys). Refresh token rotation. MFA mandatory for admin users. API Gateway 429 on brute force.</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 Short TTL limits blast radius. MFA prevents credential-only attacks. Audit alerts on unusual token usage.</w:t>
            </w:r>
          </w:p>
        </w:tc>
      </w:tr>
      <w:tr>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Bulk data exfiltration via Export API</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Information Disclosure</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Export API requires edms:admin scope (highest privilege). Rate limited (10 req/hr). Audit log entry per export with consuming system recorded. S3 presigned URL TTL 2h.</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 Scope, rate limit, and audit logging combine to detect and limit exfiltration.</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DDoS / API abuse on ingestion endpoint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Denial of Service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AWS Shield Standard on ALB. WAF managed rules (OWASP Top 10). API Gateway rate limiting per LOB (1,000 req/min). Karpenter auto-scaling absorbs organic load spikes.</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LOW-MEDIUM — Shield Standard; WAF; rate limit combination. AWS Shield Advanced available if DDoS risk increases.</w:t>
            </w:r>
          </w:p>
        </w:tc>
      </w:tr>
      <w:tr>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Insider threat — admin privilege abuse</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Repudiation / Elevation of Privilege</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Break-glass admin account with enhanced audit logging. All admin actions to append-only audit log streamed to SIEM. MFA required. Admin JWT TTL: 15 min.</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 Immutable audit log prevents repudiation. SIEM anomaly detection (rules to be added — Action ACT-03).</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Data residency violation via S3 replication misconfiguration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Information Disclosure / Compliance</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S3 replication rules pinned to approved destination region (ap-southeast-2) only. AWS Config rule: monitors for S3 replication to non-approved regions. Alert to EA if violation detected.</w:t>
            </w:r>
          </w:p>
        </w:tc>
        <w:tc>
          <w:tcPr>
            <w:tcW w:type="dxa" w:w="1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 AWS Config rule provides continuous compliance monitoring.</w:t>
            </w:r>
          </w:p>
        </w:tc>
      </w:tr>
      <w:tr>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MQ message injection — crafted malicious JSON envelope</w:t>
            </w:r>
          </w:p>
        </w:tc>
        <w:tc>
          <w:tcPr>
            <w:tcW w:type="dxa" w:w="10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Tampering / Spoofing</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w:t>
            </w:r>
          </w:p>
        </w:tc>
        <w:tc>
          <w:tcPr>
            <w:tcW w:type="dxa" w:w="2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MQ Consumer validates JSON schema before processing. Unknown fields rejected. Content passed to Ingestion Service same as REST path (virus scan, file type validation). AES-256 message encryption.</w:t>
            </w:r>
          </w:p>
        </w:tc>
        <w:tc>
          <w:tcPr>
            <w:tcW w:type="dxa" w:w="11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 Schema validation + same validation pipeline as REST. Message-level encryption prevents man-in-middle tampering.</w:t>
            </w:r>
          </w:p>
        </w:tc>
      </w:tr>
    </w:tbl>
    <w:p>
      <w:pPr>
        <w:spacing w:after="100"/>
      </w:pPr>
      <w:r>
        <w:t xml:space="preserve"/>
      </w:r>
    </w:p>
    <w:p>
      <w:pPr>
        <w:pStyle w:val="Heading1"/>
        <w:pBdr>
          <w:bottom w:val="single" w:color="2E75B6" w:sz="6" w:space="1"/>
        </w:pBdr>
        <w:spacing w:after="180" w:before="360"/>
      </w:pPr>
      <w:r>
        <w:rPr>
          <w:rFonts w:ascii="Arial" w:cs="Arial" w:eastAsia="Arial" w:hAnsi="Arial"/>
          <w:b/>
          <w:bCs/>
          <w:color w:val="1B3A6B"/>
          <w:sz w:val="32"/>
          <w:szCs w:val="32"/>
        </w:rPr>
        <w:t xml:space="preserve">8. DevSecOps Architecture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500"/>
        <w:gridCol w:w="2100"/>
        <w:gridCol w:w="1060"/>
      </w:tblGrid>
      <w:tr>
        <w:trPr>
          <w:tblHeader/>
        </w:trPr>
        <w:tc>
          <w:tcPr>
            <w:tcW w:type="dxa" w:w="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ADR ID</w:t>
            </w:r>
          </w:p>
        </w:tc>
        <w:tc>
          <w:tcPr>
            <w:tcW w:type="dxa" w:w="17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Title</w:t>
            </w:r>
          </w:p>
        </w:tc>
        <w:tc>
          <w:tcPr>
            <w:tcW w:type="dxa" w:w="25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Decision</w:t>
            </w:r>
          </w:p>
        </w:tc>
        <w:tc>
          <w:tcPr>
            <w:tcW w:type="dxa" w:w="21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Rationale</w:t>
            </w:r>
          </w:p>
        </w:tc>
        <w:tc>
          <w:tcPr>
            <w:tcW w:type="dxa" w:w="10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ADR-DSOPS-01</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SAST as Mandatory Pipeline Gate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Integrate SonarQube + Semgrep as a blocking pipeline gate on PR merge to main. Quality Gate: 0 BLOCKER/CRITICAL issues; coverage ≥ 80%.</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Security shift-left: vulnerabilities found at PR time cost 10x less to fix than at production. Current manual-only SAST is insufficient. Sprint 8 integration target.</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 — Integration in Sprint 8. Gap acknowledged and actioned.</w:t>
            </w:r>
          </w:p>
        </w:tc>
      </w:tr>
      <w:tr>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ADR-DSOPS-02</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ArgoCD GitOps for All Deployments</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deployments (all environments) via ArgoCD sync from Git. No manual kubectl, Helm, or console deployments.</w:t>
            </w:r>
          </w:p>
        </w:tc>
        <w:tc>
          <w:tcPr>
            <w:tcW w:type="dxa" w:w="2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Immutable audit trail for all deployments. Rollback via Git revert. ArgoCD sync status = single source of truth for what is deployed. Aligns to bank DevSecOps Standard.</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ACCEPTED — IMPLEMENTED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ADR-DSOPS-03</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Semantic Versioning + Git SHA Image Tags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Docker images tagged: {service}:{major.minor.patch}-{git-short-sha}. Example: edms-ingestion:1.2.3-a3f1c2d. Immutable ECR tags. No :latest in production.</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Traceable deployments: every deployed image traceable to exact Git commit. Rollback: redeploy previous image tag. Incident response: exact code version known immediately.</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ACCEPTED — IMPLEMENTED</w:t>
            </w:r>
          </w:p>
        </w:tc>
      </w:tr>
      <w:tr>
        <w:tc>
          <w:tcPr>
            <w:tcW w:type="dxa" w:w="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ADR-DSOPS-04</w:t>
            </w:r>
          </w:p>
        </w:tc>
        <w:tc>
          <w:tcPr>
            <w:tcW w:type="dxa" w:w="17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Distroless Base Images for Production</w:t>
            </w:r>
          </w:p>
        </w:tc>
        <w:tc>
          <w:tcPr>
            <w:tcW w:type="dxa" w:w="25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Production container layers use distroless base images (no shell, no package manager, no unnecessary OS tools).</w:t>
            </w:r>
          </w:p>
        </w:tc>
        <w:tc>
          <w:tcPr>
            <w:tcW w:type="dxa" w:w="21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Reduced attack surface: no shell = no remote code execution via shell injection. No package manager = no in-container dependency installation. Smaller image size.</w:t>
            </w:r>
          </w:p>
        </w:tc>
        <w:tc>
          <w:tcPr>
            <w:tcW w:type="dxa" w:w="10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ACCEPTED — IMPLEMENTED. Debug images (with shell) available for dev/staging via separate Dockerfile stage.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ADR-DSOPS-05</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Feature Flags for High-Risk Rollouts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High-risk features (retention disposal logic, cross-LOB access model changes) deployed behind AWS AppConfig feature flags. Enabled per LOB progressively.</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Reduces blast radius of new feature bugs. Allows LOB-by-LOB validation before platform-wide enablement. Instant disable without redeployment.</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ACCEPTED — Design complete. AppConfig resources provisioned in CDK.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6"/>
        <w:szCs w:val="16"/>
      </w:rPr>
      <w:t xml:space="preserve">Enterprise Architecture  ·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6"/>
        <w:szCs w:val="16"/>
      </w:rPr>
      <w:t xml:space="preserve">EDMS v1.0  ·  Architecture Review Board  ·  EARR-2026-0142  ·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7C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2026-05-07T09:42:08.949Z</dcterms:created>
  <dcterms:modified xsi:type="dcterms:W3CDTF">2026-05-07T09:42:08.949Z</dcterms:modified>
</cp:coreProperties>
</file>

<file path=docProps/custom.xml><?xml version="1.0" encoding="utf-8"?>
<Properties xmlns="http://schemas.openxmlformats.org/officeDocument/2006/custom-properties" xmlns:vt="http://schemas.openxmlformats.org/officeDocument/2006/docPropsVTypes"/>
</file>