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drawing>
          <wp:inline xmlns:a="http://schemas.openxmlformats.org/drawingml/2006/main" xmlns:pic="http://schemas.openxmlformats.org/drawingml/2006/picture">
            <wp:extent cx="3474720" cy="1845637"/>
            <wp:docPr id="1" name="Picture 1"/>
            <wp:cNvGraphicFramePr>
              <a:graphicFrameLocks noChangeAspect="1"/>
            </wp:cNvGraphicFramePr>
            <a:graphic>
              <a:graphicData uri="http://schemas.openxmlformats.org/drawingml/2006/picture">
                <pic:pic>
                  <pic:nvPicPr>
                    <pic:cNvPr id="0" name="ct_university_logo.png"/>
                    <pic:cNvPicPr/>
                  </pic:nvPicPr>
                  <pic:blipFill>
                    <a:blip r:embed="rId11"/>
                    <a:stretch>
                      <a:fillRect/>
                    </a:stretch>
                  </pic:blipFill>
                  <pic:spPr>
                    <a:xfrm>
                      <a:off x="0" y="0"/>
                      <a:ext cx="3474720" cy="1845637"/>
                    </a:xfrm>
                    <a:prstGeom prst="rect"/>
                  </pic:spPr>
                </pic:pic>
              </a:graphicData>
            </a:graphic>
          </wp:inline>
        </w:drawing>
      </w:r>
    </w:p>
    <w:p>
      <w:pPr>
        <w:spacing w:before="160" w:after="80"/>
        <w:jc w:val="center"/>
      </w:pPr>
      <w:r>
        <w:rPr>
          <w:rFonts w:ascii="Calibri" w:hAnsi="Calibri"/>
          <w:b/>
          <w:color w:val="0F6FBF"/>
          <w:sz w:val="26"/>
        </w:rPr>
        <w:t>INDUSTRIAL TRAINING PROJECT REPORT</w:t>
        <w:br/>
        <w:t>ON</w:t>
        <w:br/>
      </w:r>
      <w:r>
        <w:rPr>
          <w:rFonts w:ascii="Georgia" w:hAnsi="Georgia"/>
          <w:b/>
          <w:color w:val="0F172A"/>
          <w:sz w:val="44"/>
        </w:rPr>
        <w:t>DERMO SCAN</w:t>
        <w:br/>
      </w:r>
      <w:r>
        <w:rPr>
          <w:rFonts w:ascii="Calibri" w:hAnsi="Calibri"/>
          <w:b/>
          <w:color w:val="475569"/>
          <w:sz w:val="24"/>
        </w:rPr>
        <w:t>At</w:t>
        <w:br/>
      </w:r>
      <w:r>
        <w:rPr>
          <w:rFonts w:ascii="Calibri" w:hAnsi="Calibri"/>
          <w:b/>
          <w:color w:val="0F6FBF"/>
          <w:sz w:val="28"/>
        </w:rPr>
        <w:t>DATAVALLEY Pvt. Ltd.</w:t>
        <w:br/>
      </w:r>
    </w:p>
    <w:p>
      <w:pPr>
        <w:spacing w:before="280" w:after="400"/>
        <w:jc w:val="center"/>
      </w:pPr>
      <w:r>
        <w:rPr>
          <w:rFonts w:ascii="Calibri" w:hAnsi="Calibri"/>
          <w:color w:val="334155"/>
          <w:sz w:val="22"/>
        </w:rPr>
        <w:t>Submitted in Partial Fulfillment of the Degree</w:t>
        <w:br/>
        <w:t>Of</w:t>
        <w:br/>
        <w:t>Bachelor of Technology</w:t>
        <w:br/>
        <w:t>Computer Science and Engineering (AI &amp; DS)</w:t>
      </w:r>
    </w:p>
    <w:tbl>
      <w:tblPr>
        <w:tblW w:type="auto" w:w="0"/>
        <w:jc w:val="center"/>
        <w:tblLayout w:type="fixed"/>
        <w:tblLook w:firstColumn="1" w:firstRow="1" w:lastColumn="0" w:lastRow="0" w:noHBand="0" w:noVBand="1" w:val="04A0"/>
      </w:tblPr>
      <w:tblGrid>
        <w:gridCol w:w="4680"/>
        <w:gridCol w:w="4680"/>
      </w:tblGrid>
      <w:tr>
        <w:tc>
          <w:tcPr>
            <w:tcW w:type="dxa" w:w="4680"/>
            <w:shd w:fill="F8FAFC"/>
            <w:tcMar>
              <w:top w:w="140" w:type="dxa"/>
              <w:bottom w:w="140" w:type="dxa"/>
              <w:left w:w="180" w:type="dxa"/>
              <w:right w:w="180" w:type="dxa"/>
            </w:tcMar>
          </w:tcPr>
          <w:p>
            <w:pPr>
              <w:spacing w:line="276" w:lineRule="auto"/>
            </w:pPr>
            <w:r>
              <w:rPr>
                <w:b/>
                <w:color w:val="0F6FBF"/>
                <w:sz w:val="20"/>
              </w:rPr>
              <w:t>Under the Supervision of:</w:t>
              <w:br/>
            </w:r>
            <w:r>
              <w:rPr>
                <w:color w:val="334155"/>
                <w:sz w:val="19"/>
              </w:rPr>
              <w:t>Supervisor Name: Shaik. Arshad</w:t>
              <w:br/>
              <w:t>Designation: Project Coordinator</w:t>
              <w:br/>
              <w:t>Organization: Data Valley (Pvt. Ltd.)</w:t>
              <w:br/>
              <w:br/>
              <w:t>Internal Guide: Er. Rohit Kumar</w:t>
              <w:br/>
              <w:t>Assistant Professor, Dept. of CSE</w:t>
              <w:br/>
              <w:t>CT University, Punjab</w:t>
            </w:r>
          </w:p>
        </w:tc>
        <w:tc>
          <w:tcPr>
            <w:tcW w:type="dxa" w:w="4680"/>
            <w:shd w:fill="F8FAFC"/>
            <w:tcMar>
              <w:top w:w="140" w:type="dxa"/>
              <w:bottom w:w="140" w:type="dxa"/>
              <w:left w:w="180" w:type="dxa"/>
              <w:right w:w="180" w:type="dxa"/>
            </w:tcMar>
          </w:tcPr>
          <w:p>
            <w:pPr>
              <w:spacing w:line="276" w:lineRule="auto"/>
            </w:pPr>
            <w:r>
              <w:rPr>
                <w:b/>
                <w:color w:val="0F6FBF"/>
                <w:sz w:val="20"/>
              </w:rPr>
              <w:t>Submitted By:</w:t>
              <w:br/>
            </w:r>
            <w:r>
              <w:rPr>
                <w:color w:val="334155"/>
                <w:sz w:val="19"/>
              </w:rPr>
              <w:t>Name: Bhumireddy.Vijayesh Vardhan Reddy</w:t>
              <w:br/>
              <w:t>Roll No: 72312924</w:t>
              <w:br/>
              <w:t>Degree: B.Tech CSE (AI &amp; DS)</w:t>
              <w:br/>
              <w:t>Department: Computer Science and Engineering</w:t>
              <w:br/>
              <w:t>CT UNIVERSITY</w:t>
              <w:br/>
              <w:t>LUDHIANA (PUNJAB), INDIA</w:t>
            </w:r>
          </w:p>
        </w:tc>
      </w:tr>
    </w:tbl>
    <w:p>
      <w:r>
        <w:br w:type="page"/>
      </w:r>
    </w:p>
    <w:p>
      <w:pPr>
        <w:keepNext/>
        <w:spacing w:before="320" w:after="120"/>
      </w:pPr>
      <w:r>
        <w:rPr>
          <w:rFonts w:ascii="Georgia" w:hAnsi="Georgia"/>
          <w:b/>
          <w:color w:val="0F6FBF"/>
          <w:sz w:val="28"/>
        </w:rPr>
        <w:t>Acknowledgment</w:t>
      </w:r>
    </w:p>
    <w:p>
      <w:r>
        <w:t>I would like to express my sincere gratitude to everyone who supported and guided me during my industrial training and the development of the DermoScan project.</w:t>
      </w:r>
    </w:p>
    <w:p>
      <w:r>
        <w:t>I am thankful to Datavalley India Pvt. Ltd. (Data Valley) for providing an opportunity to gain practical exposure to software development, modern web technologies, AI automation, computer vision, medical informatics, and production-oriented project engineering. The training environment helped me connect academic concepts with hands-on implementation.</w:t>
      </w:r>
    </w:p>
    <w:p>
      <w:r>
        <w:t>I am especially grateful to my industry mentor and project coordinator, Shaik. Arshad, Project Coordinator at Data Valley, for his continuous guidance, technical direction, code reviews, and encouragement throughout the training period. His support helped me understand the importance of structured development, defensive validation, clinical data harmonization, debugging, and professional engineering documentation.</w:t>
      </w:r>
    </w:p>
    <w:p>
      <w:r>
        <w:t>I also express my gratitude to the Department of Computer Science and Engineering (AI &amp; DS), CT University, Ludhiana, Punjab, for providing the academic framework and continuous support required to complete the industrial training as an integral part of the B.Tech curriculum. I wish to thank my internal guide, Er. Rohit Kumar, for his valuable advice and periodic reviews.</w:t>
      </w:r>
    </w:p>
    <w:p>
      <w:r>
        <w:t>The DermoScan project gave me practical exposure to React 18, TypeScript 5.7, Vite bundler tooling, Tailwind CSS, HTML5 Canvas optical preprocessing, multimodal vision AI orchestration, deterministic ICD-10-CM clinical crosswalks, and client-side session management.</w:t>
      </w:r>
    </w:p>
    <w:p>
      <w:r>
        <w:t>Finally, I thank my family, friends, faculty members, and everyone who encouraged me throughout the training and report preparation.</w:t>
      </w:r>
    </w:p>
    <w:p>
      <w:pPr>
        <w:spacing w:before="280"/>
      </w:pPr>
      <w:r>
        <w:rPr>
          <w:b/>
          <w:color w:val="0F172A"/>
        </w:rPr>
        <w:t>Bhumireddy.Vijayesh Vardhan Reddy</w:t>
        <w:br/>
        <w:t>Roll No.: 72312924</w:t>
        <w:br/>
        <w:t>B.Tech CSE (AI &amp; DS)</w:t>
        <w:br/>
        <w:t>CT University, Punjab</w:t>
      </w:r>
    </w:p>
    <w:p>
      <w:r>
        <w:br w:type="page"/>
      </w:r>
    </w:p>
    <w:p>
      <w:pPr>
        <w:keepNext/>
        <w:spacing w:before="320" w:after="120"/>
      </w:pPr>
      <w:r>
        <w:rPr>
          <w:rFonts w:ascii="Georgia" w:hAnsi="Georgia"/>
          <w:b/>
          <w:color w:val="0F6FBF"/>
          <w:sz w:val="28"/>
        </w:rPr>
        <w:t>Table of Contents</w:t>
      </w:r>
    </w:p>
    <w:tbl>
      <w:tblPr>
        <w:tblW w:type="auto" w:w="0"/>
        <w:jc w:val="center"/>
        <w:tblLayout w:type="fixed"/>
        <w:tblLook w:firstColumn="1" w:firstRow="1" w:lastColumn="0" w:lastRow="0" w:noHBand="0" w:noVBand="1" w:val="04A0"/>
      </w:tblPr>
      <w:tblGrid>
        <w:gridCol w:w="7488"/>
        <w:gridCol w:w="1872"/>
      </w:tblGrid>
      <w:tr>
        <w:tc>
          <w:tcPr>
            <w:tcW w:type="dxa" w:w="4680"/>
            <w:shd w:fill="F1F5F9"/>
            <w:tcMar>
              <w:top w:w="100" w:type="dxa"/>
              <w:bottom w:w="100" w:type="dxa"/>
              <w:left w:w="140" w:type="dxa"/>
              <w:right w:w="140" w:type="dxa"/>
            </w:tcMar>
          </w:tcPr>
          <w:p>
            <w:r>
              <w:rPr>
                <w:b/>
                <w:color w:val="0F172A"/>
                <w:sz w:val="20"/>
              </w:rPr>
              <w:t>INDEX</w:t>
            </w:r>
          </w:p>
        </w:tc>
        <w:tc>
          <w:tcPr>
            <w:tcW w:type="dxa" w:w="4680"/>
            <w:shd w:fill="F1F5F9"/>
            <w:tcMar>
              <w:top w:w="100" w:type="dxa"/>
              <w:bottom w:w="100" w:type="dxa"/>
              <w:left w:w="140" w:type="dxa"/>
              <w:right w:w="140" w:type="dxa"/>
            </w:tcMar>
          </w:tcPr>
          <w:p>
            <w:pPr>
              <w:jc w:val="right"/>
            </w:pPr>
            <w:r>
              <w:rPr>
                <w:b/>
                <w:color w:val="0F172A"/>
                <w:sz w:val="20"/>
              </w:rPr>
              <w:t>Pg. No.</w:t>
            </w:r>
          </w:p>
        </w:tc>
      </w:tr>
      <w:tr>
        <w:tc>
          <w:tcPr>
            <w:tcW w:type="dxa" w:w="4680"/>
            <w:tcMar>
              <w:top w:w="60" w:type="dxa"/>
              <w:bottom w:w="60" w:type="dxa"/>
              <w:left w:w="140" w:type="dxa"/>
              <w:right w:w="140" w:type="dxa"/>
            </w:tcMar>
          </w:tcPr>
          <w:p>
            <w:pPr>
              <w:spacing w:after="40"/>
            </w:pPr>
            <w:r>
              <w:rPr>
                <w:b/>
                <w:color w:val="0F172A"/>
                <w:sz w:val="19"/>
              </w:rPr>
              <w:t>1. Introduction</w:t>
            </w:r>
          </w:p>
        </w:tc>
        <w:tc>
          <w:tcPr>
            <w:tcW w:type="dxa" w:w="4680"/>
            <w:tcMar>
              <w:top w:w="60" w:type="dxa"/>
              <w:bottom w:w="60" w:type="dxa"/>
              <w:left w:w="140" w:type="dxa"/>
              <w:right w:w="140" w:type="dxa"/>
            </w:tcMar>
          </w:tcPr>
          <w:p>
            <w:pPr>
              <w:spacing w:after="40"/>
              <w:jc w:val="right"/>
            </w:pPr>
            <w:r>
              <w:rPr>
                <w:color w:val="475569"/>
                <w:sz w:val="19"/>
              </w:rPr>
              <w:t>4 – 6</w:t>
            </w:r>
          </w:p>
        </w:tc>
      </w:tr>
      <w:tr>
        <w:tc>
          <w:tcPr>
            <w:tcW w:type="dxa" w:w="4680"/>
            <w:shd w:fill="F8FAFC"/>
            <w:tcMar>
              <w:top w:w="60" w:type="dxa"/>
              <w:bottom w:w="60" w:type="dxa"/>
              <w:left w:w="140" w:type="dxa"/>
              <w:right w:w="140" w:type="dxa"/>
            </w:tcMar>
          </w:tcPr>
          <w:p>
            <w:pPr>
              <w:spacing w:after="40"/>
            </w:pPr>
            <w:r>
              <w:rPr>
                <w:color w:val="334155"/>
                <w:sz w:val="19"/>
              </w:rPr>
              <w:t xml:space="preserve">   1.1 Functional Scope of DermoScan</w:t>
            </w:r>
          </w:p>
        </w:tc>
        <w:tc>
          <w:tcPr>
            <w:tcW w:type="dxa" w:w="4680"/>
            <w:shd w:fill="F8FAFC"/>
            <w:tcMar>
              <w:top w:w="60" w:type="dxa"/>
              <w:bottom w:w="60" w:type="dxa"/>
              <w:left w:w="140" w:type="dxa"/>
              <w:right w:w="140" w:type="dxa"/>
            </w:tcMar>
          </w:tcPr>
          <w:p>
            <w:pPr>
              <w:spacing w:after="40"/>
              <w:jc w:val="right"/>
            </w:pPr>
            <w:r>
              <w:rPr>
                <w:color w:val="475569"/>
                <w:sz w:val="19"/>
              </w:rPr>
              <w:t>4</w:t>
            </w:r>
          </w:p>
        </w:tc>
      </w:tr>
      <w:tr>
        <w:tc>
          <w:tcPr>
            <w:tcW w:type="dxa" w:w="4680"/>
            <w:tcMar>
              <w:top w:w="60" w:type="dxa"/>
              <w:bottom w:w="60" w:type="dxa"/>
              <w:left w:w="140" w:type="dxa"/>
              <w:right w:w="140" w:type="dxa"/>
            </w:tcMar>
          </w:tcPr>
          <w:p>
            <w:pPr>
              <w:spacing w:after="40"/>
            </w:pPr>
            <w:r>
              <w:rPr>
                <w:color w:val="334155"/>
                <w:sz w:val="19"/>
              </w:rPr>
              <w:t xml:space="preserve">   1.2 Clinical Triage &amp; Diagnostic Intelligence Context</w:t>
            </w:r>
          </w:p>
        </w:tc>
        <w:tc>
          <w:tcPr>
            <w:tcW w:type="dxa" w:w="4680"/>
            <w:tcMar>
              <w:top w:w="60" w:type="dxa"/>
              <w:bottom w:w="60" w:type="dxa"/>
              <w:left w:w="140" w:type="dxa"/>
              <w:right w:w="140" w:type="dxa"/>
            </w:tcMar>
          </w:tcPr>
          <w:p>
            <w:pPr>
              <w:spacing w:after="40"/>
              <w:jc w:val="right"/>
            </w:pPr>
            <w:r>
              <w:rPr>
                <w:color w:val="475569"/>
                <w:sz w:val="19"/>
              </w:rPr>
              <w:t>5</w:t>
            </w:r>
          </w:p>
        </w:tc>
      </w:tr>
      <w:tr>
        <w:tc>
          <w:tcPr>
            <w:tcW w:type="dxa" w:w="4680"/>
            <w:shd w:fill="F8FAFC"/>
            <w:tcMar>
              <w:top w:w="60" w:type="dxa"/>
              <w:bottom w:w="60" w:type="dxa"/>
              <w:left w:w="140" w:type="dxa"/>
              <w:right w:w="140" w:type="dxa"/>
            </w:tcMar>
          </w:tcPr>
          <w:p>
            <w:pPr>
              <w:spacing w:after="40"/>
            </w:pPr>
            <w:r>
              <w:rPr>
                <w:color w:val="334155"/>
                <w:sz w:val="19"/>
              </w:rPr>
              <w:t xml:space="preserve">   1.3 Project Value and Expected Impact</w:t>
            </w:r>
          </w:p>
        </w:tc>
        <w:tc>
          <w:tcPr>
            <w:tcW w:type="dxa" w:w="4680"/>
            <w:shd w:fill="F8FAFC"/>
            <w:tcMar>
              <w:top w:w="60" w:type="dxa"/>
              <w:bottom w:w="60" w:type="dxa"/>
              <w:left w:w="140" w:type="dxa"/>
              <w:right w:w="140" w:type="dxa"/>
            </w:tcMar>
          </w:tcPr>
          <w:p>
            <w:pPr>
              <w:spacing w:after="40"/>
              <w:jc w:val="right"/>
            </w:pPr>
            <w:r>
              <w:rPr>
                <w:color w:val="475569"/>
                <w:sz w:val="19"/>
              </w:rPr>
              <w:t>5</w:t>
            </w:r>
          </w:p>
        </w:tc>
      </w:tr>
      <w:tr>
        <w:tc>
          <w:tcPr>
            <w:tcW w:type="dxa" w:w="4680"/>
            <w:tcMar>
              <w:top w:w="60" w:type="dxa"/>
              <w:bottom w:w="60" w:type="dxa"/>
              <w:left w:w="140" w:type="dxa"/>
              <w:right w:w="140" w:type="dxa"/>
            </w:tcMar>
          </w:tcPr>
          <w:p>
            <w:pPr>
              <w:spacing w:after="40"/>
            </w:pPr>
            <w:r>
              <w:rPr>
                <w:color w:val="334155"/>
                <w:sz w:val="19"/>
              </w:rPr>
              <w:t xml:space="preserve">   1.4 Key Project Features</w:t>
            </w:r>
          </w:p>
        </w:tc>
        <w:tc>
          <w:tcPr>
            <w:tcW w:type="dxa" w:w="4680"/>
            <w:tcMar>
              <w:top w:w="60" w:type="dxa"/>
              <w:bottom w:w="60" w:type="dxa"/>
              <w:left w:w="140" w:type="dxa"/>
              <w:right w:w="140" w:type="dxa"/>
            </w:tcMar>
          </w:tcPr>
          <w:p>
            <w:pPr>
              <w:spacing w:after="40"/>
              <w:jc w:val="right"/>
            </w:pPr>
            <w:r>
              <w:rPr>
                <w:color w:val="475569"/>
                <w:sz w:val="19"/>
              </w:rPr>
              <w:t>6</w:t>
            </w:r>
          </w:p>
        </w:tc>
      </w:tr>
      <w:tr>
        <w:tc>
          <w:tcPr>
            <w:tcW w:type="dxa" w:w="4680"/>
            <w:shd w:fill="F8FAFC"/>
            <w:tcMar>
              <w:top w:w="60" w:type="dxa"/>
              <w:bottom w:w="60" w:type="dxa"/>
              <w:left w:w="140" w:type="dxa"/>
              <w:right w:w="140" w:type="dxa"/>
            </w:tcMar>
          </w:tcPr>
          <w:p>
            <w:pPr>
              <w:spacing w:after="40"/>
            </w:pPr>
            <w:r>
              <w:rPr>
                <w:b/>
                <w:color w:val="0F172A"/>
                <w:sz w:val="19"/>
              </w:rPr>
              <w:t>2. Objectives</w:t>
            </w:r>
          </w:p>
        </w:tc>
        <w:tc>
          <w:tcPr>
            <w:tcW w:type="dxa" w:w="4680"/>
            <w:shd w:fill="F8FAFC"/>
            <w:tcMar>
              <w:top w:w="60" w:type="dxa"/>
              <w:bottom w:w="60" w:type="dxa"/>
              <w:left w:w="140" w:type="dxa"/>
              <w:right w:w="140" w:type="dxa"/>
            </w:tcMar>
          </w:tcPr>
          <w:p>
            <w:pPr>
              <w:spacing w:after="40"/>
              <w:jc w:val="right"/>
            </w:pPr>
            <w:r>
              <w:rPr>
                <w:color w:val="475569"/>
                <w:sz w:val="19"/>
              </w:rPr>
              <w:t>7</w:t>
            </w:r>
          </w:p>
        </w:tc>
      </w:tr>
      <w:tr>
        <w:tc>
          <w:tcPr>
            <w:tcW w:type="dxa" w:w="4680"/>
            <w:tcMar>
              <w:top w:w="60" w:type="dxa"/>
              <w:bottom w:w="60" w:type="dxa"/>
              <w:left w:w="140" w:type="dxa"/>
              <w:right w:w="140" w:type="dxa"/>
            </w:tcMar>
          </w:tcPr>
          <w:p>
            <w:pPr>
              <w:spacing w:after="40"/>
            </w:pPr>
            <w:r>
              <w:rPr>
                <w:color w:val="334155"/>
                <w:sz w:val="19"/>
              </w:rPr>
              <w:t xml:space="preserve">   Core Objectives &amp; Functional Goals</w:t>
            </w:r>
          </w:p>
        </w:tc>
        <w:tc>
          <w:tcPr>
            <w:tcW w:type="dxa" w:w="4680"/>
            <w:tcMar>
              <w:top w:w="60" w:type="dxa"/>
              <w:bottom w:w="60" w:type="dxa"/>
              <w:left w:w="140" w:type="dxa"/>
              <w:right w:w="140" w:type="dxa"/>
            </w:tcMar>
          </w:tcPr>
          <w:p>
            <w:pPr>
              <w:spacing w:after="40"/>
              <w:jc w:val="right"/>
            </w:pPr>
            <w:r>
              <w:rPr>
                <w:color w:val="475569"/>
                <w:sz w:val="19"/>
              </w:rPr>
              <w:t>7</w:t>
            </w:r>
          </w:p>
        </w:tc>
      </w:tr>
      <w:tr>
        <w:tc>
          <w:tcPr>
            <w:tcW w:type="dxa" w:w="4680"/>
            <w:shd w:fill="F8FAFC"/>
            <w:tcMar>
              <w:top w:w="60" w:type="dxa"/>
              <w:bottom w:w="60" w:type="dxa"/>
              <w:left w:w="140" w:type="dxa"/>
              <w:right w:w="140" w:type="dxa"/>
            </w:tcMar>
          </w:tcPr>
          <w:p>
            <w:pPr>
              <w:spacing w:after="40"/>
            </w:pPr>
            <w:r>
              <w:rPr>
                <w:b/>
                <w:color w:val="0F172A"/>
                <w:sz w:val="19"/>
              </w:rPr>
              <w:t>3. Organization Overview</w:t>
            </w:r>
          </w:p>
        </w:tc>
        <w:tc>
          <w:tcPr>
            <w:tcW w:type="dxa" w:w="4680"/>
            <w:shd w:fill="F8FAFC"/>
            <w:tcMar>
              <w:top w:w="60" w:type="dxa"/>
              <w:bottom w:w="60" w:type="dxa"/>
              <w:left w:w="140" w:type="dxa"/>
              <w:right w:w="140" w:type="dxa"/>
            </w:tcMar>
          </w:tcPr>
          <w:p>
            <w:pPr>
              <w:spacing w:after="40"/>
              <w:jc w:val="right"/>
            </w:pPr>
            <w:r>
              <w:rPr>
                <w:color w:val="475569"/>
                <w:sz w:val="19"/>
              </w:rPr>
              <w:t>8</w:t>
            </w:r>
          </w:p>
        </w:tc>
      </w:tr>
      <w:tr>
        <w:tc>
          <w:tcPr>
            <w:tcW w:type="dxa" w:w="4680"/>
            <w:tcMar>
              <w:top w:w="60" w:type="dxa"/>
              <w:bottom w:w="60" w:type="dxa"/>
              <w:left w:w="140" w:type="dxa"/>
              <w:right w:w="140" w:type="dxa"/>
            </w:tcMar>
          </w:tcPr>
          <w:p>
            <w:pPr>
              <w:spacing w:after="40"/>
            </w:pPr>
            <w:r>
              <w:rPr>
                <w:color w:val="334155"/>
                <w:sz w:val="19"/>
              </w:rPr>
              <w:t xml:space="preserve">   Datavalley India Pvt. Ltd. &amp; Training Context</w:t>
            </w:r>
          </w:p>
        </w:tc>
        <w:tc>
          <w:tcPr>
            <w:tcW w:type="dxa" w:w="4680"/>
            <w:tcMar>
              <w:top w:w="60" w:type="dxa"/>
              <w:bottom w:w="60" w:type="dxa"/>
              <w:left w:w="140" w:type="dxa"/>
              <w:right w:w="140" w:type="dxa"/>
            </w:tcMar>
          </w:tcPr>
          <w:p>
            <w:pPr>
              <w:spacing w:after="40"/>
              <w:jc w:val="right"/>
            </w:pPr>
            <w:r>
              <w:rPr>
                <w:color w:val="475569"/>
                <w:sz w:val="19"/>
              </w:rPr>
              <w:t>8</w:t>
            </w:r>
          </w:p>
        </w:tc>
      </w:tr>
      <w:tr>
        <w:tc>
          <w:tcPr>
            <w:tcW w:type="dxa" w:w="4680"/>
            <w:shd w:fill="F8FAFC"/>
            <w:tcMar>
              <w:top w:w="60" w:type="dxa"/>
              <w:bottom w:w="60" w:type="dxa"/>
              <w:left w:w="140" w:type="dxa"/>
              <w:right w:w="140" w:type="dxa"/>
            </w:tcMar>
          </w:tcPr>
          <w:p>
            <w:pPr>
              <w:spacing w:after="40"/>
            </w:pPr>
            <w:r>
              <w:rPr>
                <w:b/>
                <w:color w:val="0F172A"/>
                <w:sz w:val="19"/>
              </w:rPr>
              <w:t>4. Training Details</w:t>
            </w:r>
          </w:p>
        </w:tc>
        <w:tc>
          <w:tcPr>
            <w:tcW w:type="dxa" w:w="4680"/>
            <w:shd w:fill="F8FAFC"/>
            <w:tcMar>
              <w:top w:w="60" w:type="dxa"/>
              <w:bottom w:w="60" w:type="dxa"/>
              <w:left w:w="140" w:type="dxa"/>
              <w:right w:w="140" w:type="dxa"/>
            </w:tcMar>
          </w:tcPr>
          <w:p>
            <w:pPr>
              <w:spacing w:after="40"/>
              <w:jc w:val="right"/>
            </w:pPr>
            <w:r>
              <w:rPr>
                <w:color w:val="475569"/>
                <w:sz w:val="19"/>
              </w:rPr>
              <w:t>9 – 13</w:t>
            </w:r>
          </w:p>
        </w:tc>
      </w:tr>
      <w:tr>
        <w:tc>
          <w:tcPr>
            <w:tcW w:type="dxa" w:w="4680"/>
            <w:tcMar>
              <w:top w:w="60" w:type="dxa"/>
              <w:bottom w:w="60" w:type="dxa"/>
              <w:left w:w="140" w:type="dxa"/>
              <w:right w:w="140" w:type="dxa"/>
            </w:tcMar>
          </w:tcPr>
          <w:p>
            <w:pPr>
              <w:spacing w:after="40"/>
            </w:pPr>
            <w:r>
              <w:rPr>
                <w:color w:val="334155"/>
                <w:sz w:val="19"/>
              </w:rPr>
              <w:t xml:space="preserve">   4.1 Work Environment</w:t>
            </w:r>
          </w:p>
        </w:tc>
        <w:tc>
          <w:tcPr>
            <w:tcW w:type="dxa" w:w="4680"/>
            <w:tcMar>
              <w:top w:w="60" w:type="dxa"/>
              <w:bottom w:w="60" w:type="dxa"/>
              <w:left w:w="140" w:type="dxa"/>
              <w:right w:w="140" w:type="dxa"/>
            </w:tcMar>
          </w:tcPr>
          <w:p>
            <w:pPr>
              <w:spacing w:after="40"/>
              <w:jc w:val="right"/>
            </w:pPr>
            <w:r>
              <w:rPr>
                <w:color w:val="475569"/>
                <w:sz w:val="19"/>
              </w:rPr>
              <w:t>9</w:t>
            </w:r>
          </w:p>
        </w:tc>
      </w:tr>
      <w:tr>
        <w:tc>
          <w:tcPr>
            <w:tcW w:type="dxa" w:w="4680"/>
            <w:shd w:fill="F8FAFC"/>
            <w:tcMar>
              <w:top w:w="60" w:type="dxa"/>
              <w:bottom w:w="60" w:type="dxa"/>
              <w:left w:w="140" w:type="dxa"/>
              <w:right w:w="140" w:type="dxa"/>
            </w:tcMar>
          </w:tcPr>
          <w:p>
            <w:pPr>
              <w:spacing w:after="40"/>
            </w:pPr>
            <w:r>
              <w:rPr>
                <w:color w:val="334155"/>
                <w:sz w:val="19"/>
              </w:rPr>
              <w:t xml:space="preserve">   4.2 Tasks and Responsibilities</w:t>
            </w:r>
          </w:p>
        </w:tc>
        <w:tc>
          <w:tcPr>
            <w:tcW w:type="dxa" w:w="4680"/>
            <w:shd w:fill="F8FAFC"/>
            <w:tcMar>
              <w:top w:w="60" w:type="dxa"/>
              <w:bottom w:w="60" w:type="dxa"/>
              <w:left w:w="140" w:type="dxa"/>
              <w:right w:w="140" w:type="dxa"/>
            </w:tcMar>
          </w:tcPr>
          <w:p>
            <w:pPr>
              <w:spacing w:after="40"/>
              <w:jc w:val="right"/>
            </w:pPr>
            <w:r>
              <w:rPr>
                <w:color w:val="475569"/>
                <w:sz w:val="19"/>
              </w:rPr>
              <w:t>10 – 11</w:t>
            </w:r>
          </w:p>
        </w:tc>
      </w:tr>
      <w:tr>
        <w:tc>
          <w:tcPr>
            <w:tcW w:type="dxa" w:w="4680"/>
            <w:tcMar>
              <w:top w:w="60" w:type="dxa"/>
              <w:bottom w:w="60" w:type="dxa"/>
              <w:left w:w="140" w:type="dxa"/>
              <w:right w:w="140" w:type="dxa"/>
            </w:tcMar>
          </w:tcPr>
          <w:p>
            <w:pPr>
              <w:spacing w:after="40"/>
            </w:pPr>
            <w:r>
              <w:rPr>
                <w:color w:val="334155"/>
                <w:sz w:val="19"/>
              </w:rPr>
              <w:t xml:space="preserve">   4.3 Tools and Technologies Used</w:t>
            </w:r>
          </w:p>
        </w:tc>
        <w:tc>
          <w:tcPr>
            <w:tcW w:type="dxa" w:w="4680"/>
            <w:tcMar>
              <w:top w:w="60" w:type="dxa"/>
              <w:bottom w:w="60" w:type="dxa"/>
              <w:left w:w="140" w:type="dxa"/>
              <w:right w:w="140" w:type="dxa"/>
            </w:tcMar>
          </w:tcPr>
          <w:p>
            <w:pPr>
              <w:spacing w:after="40"/>
              <w:jc w:val="right"/>
            </w:pPr>
            <w:r>
              <w:rPr>
                <w:color w:val="475569"/>
                <w:sz w:val="19"/>
              </w:rPr>
              <w:t>12</w:t>
            </w:r>
          </w:p>
        </w:tc>
      </w:tr>
      <w:tr>
        <w:tc>
          <w:tcPr>
            <w:tcW w:type="dxa" w:w="4680"/>
            <w:shd w:fill="F8FAFC"/>
            <w:tcMar>
              <w:top w:w="60" w:type="dxa"/>
              <w:bottom w:w="60" w:type="dxa"/>
              <w:left w:w="140" w:type="dxa"/>
              <w:right w:w="140" w:type="dxa"/>
            </w:tcMar>
          </w:tcPr>
          <w:p>
            <w:pPr>
              <w:spacing w:after="40"/>
            </w:pPr>
            <w:r>
              <w:rPr>
                <w:color w:val="334155"/>
                <w:sz w:val="19"/>
              </w:rPr>
              <w:t xml:space="preserve">   4.4 Project Execution Phases</w:t>
            </w:r>
          </w:p>
        </w:tc>
        <w:tc>
          <w:tcPr>
            <w:tcW w:type="dxa" w:w="4680"/>
            <w:shd w:fill="F8FAFC"/>
            <w:tcMar>
              <w:top w:w="60" w:type="dxa"/>
              <w:bottom w:w="60" w:type="dxa"/>
              <w:left w:w="140" w:type="dxa"/>
              <w:right w:w="140" w:type="dxa"/>
            </w:tcMar>
          </w:tcPr>
          <w:p>
            <w:pPr>
              <w:spacing w:after="40"/>
              <w:jc w:val="right"/>
            </w:pPr>
            <w:r>
              <w:rPr>
                <w:color w:val="475569"/>
                <w:sz w:val="19"/>
              </w:rPr>
              <w:t>13</w:t>
            </w:r>
          </w:p>
        </w:tc>
      </w:tr>
      <w:tr>
        <w:tc>
          <w:tcPr>
            <w:tcW w:type="dxa" w:w="4680"/>
            <w:tcMar>
              <w:top w:w="60" w:type="dxa"/>
              <w:bottom w:w="60" w:type="dxa"/>
              <w:left w:w="140" w:type="dxa"/>
              <w:right w:w="140" w:type="dxa"/>
            </w:tcMar>
          </w:tcPr>
          <w:p>
            <w:pPr>
              <w:spacing w:after="40"/>
            </w:pPr>
            <w:r>
              <w:rPr>
                <w:b/>
                <w:color w:val="0F172A"/>
                <w:sz w:val="19"/>
              </w:rPr>
              <w:t>5. Challenges Faced</w:t>
            </w:r>
          </w:p>
        </w:tc>
        <w:tc>
          <w:tcPr>
            <w:tcW w:type="dxa" w:w="4680"/>
            <w:tcMar>
              <w:top w:w="60" w:type="dxa"/>
              <w:bottom w:w="60" w:type="dxa"/>
              <w:left w:w="140" w:type="dxa"/>
              <w:right w:w="140" w:type="dxa"/>
            </w:tcMar>
          </w:tcPr>
          <w:p>
            <w:pPr>
              <w:spacing w:after="40"/>
              <w:jc w:val="right"/>
            </w:pPr>
            <w:r>
              <w:rPr>
                <w:color w:val="475569"/>
                <w:sz w:val="19"/>
              </w:rPr>
              <w:t>14 – 16</w:t>
            </w:r>
          </w:p>
        </w:tc>
      </w:tr>
      <w:tr>
        <w:tc>
          <w:tcPr>
            <w:tcW w:type="dxa" w:w="4680"/>
            <w:shd w:fill="F8FAFC"/>
            <w:tcMar>
              <w:top w:w="60" w:type="dxa"/>
              <w:bottom w:w="60" w:type="dxa"/>
              <w:left w:w="140" w:type="dxa"/>
              <w:right w:w="140" w:type="dxa"/>
            </w:tcMar>
          </w:tcPr>
          <w:p>
            <w:pPr>
              <w:spacing w:after="40"/>
            </w:pPr>
            <w:r>
              <w:rPr>
                <w:color w:val="334155"/>
                <w:sz w:val="19"/>
              </w:rPr>
              <w:t xml:space="preserve">   5.1 Managing Multiple Optical &amp; AI Layers</w:t>
            </w:r>
          </w:p>
        </w:tc>
        <w:tc>
          <w:tcPr>
            <w:tcW w:type="dxa" w:w="4680"/>
            <w:shd w:fill="F8FAFC"/>
            <w:tcMar>
              <w:top w:w="60" w:type="dxa"/>
              <w:bottom w:w="60" w:type="dxa"/>
              <w:left w:w="140" w:type="dxa"/>
              <w:right w:w="140" w:type="dxa"/>
            </w:tcMar>
          </w:tcPr>
          <w:p>
            <w:pPr>
              <w:spacing w:after="40"/>
              <w:jc w:val="right"/>
            </w:pPr>
            <w:r>
              <w:rPr>
                <w:color w:val="475569"/>
                <w:sz w:val="19"/>
              </w:rPr>
              <w:t>14</w:t>
            </w:r>
          </w:p>
        </w:tc>
      </w:tr>
      <w:tr>
        <w:tc>
          <w:tcPr>
            <w:tcW w:type="dxa" w:w="4680"/>
            <w:tcMar>
              <w:top w:w="60" w:type="dxa"/>
              <w:bottom w:w="60" w:type="dxa"/>
              <w:left w:w="140" w:type="dxa"/>
              <w:right w:w="140" w:type="dxa"/>
            </w:tcMar>
          </w:tcPr>
          <w:p>
            <w:pPr>
              <w:spacing w:after="40"/>
            </w:pPr>
            <w:r>
              <w:rPr>
                <w:color w:val="334155"/>
                <w:sz w:val="19"/>
              </w:rPr>
              <w:t xml:space="preserve">   5.2 Preserving Lesion Resolution without Network Latency</w:t>
            </w:r>
          </w:p>
        </w:tc>
        <w:tc>
          <w:tcPr>
            <w:tcW w:type="dxa" w:w="4680"/>
            <w:tcMar>
              <w:top w:w="60" w:type="dxa"/>
              <w:bottom w:w="60" w:type="dxa"/>
              <w:left w:w="140" w:type="dxa"/>
              <w:right w:w="140" w:type="dxa"/>
            </w:tcMar>
          </w:tcPr>
          <w:p>
            <w:pPr>
              <w:spacing w:after="40"/>
              <w:jc w:val="right"/>
            </w:pPr>
            <w:r>
              <w:rPr>
                <w:color w:val="475569"/>
                <w:sz w:val="19"/>
              </w:rPr>
              <w:t>14</w:t>
            </w:r>
          </w:p>
        </w:tc>
      </w:tr>
      <w:tr>
        <w:tc>
          <w:tcPr>
            <w:tcW w:type="dxa" w:w="4680"/>
            <w:shd w:fill="F8FAFC"/>
            <w:tcMar>
              <w:top w:w="60" w:type="dxa"/>
              <w:bottom w:w="60" w:type="dxa"/>
              <w:left w:w="140" w:type="dxa"/>
              <w:right w:w="140" w:type="dxa"/>
            </w:tcMar>
          </w:tcPr>
          <w:p>
            <w:pPr>
              <w:spacing w:after="40"/>
            </w:pPr>
            <w:r>
              <w:rPr>
                <w:color w:val="334155"/>
                <w:sz w:val="19"/>
              </w:rPr>
              <w:t xml:space="preserve">   5.3 Enforcing Single-Color Clinical Blue Standard (#0F6FBF)</w:t>
            </w:r>
          </w:p>
        </w:tc>
        <w:tc>
          <w:tcPr>
            <w:tcW w:type="dxa" w:w="4680"/>
            <w:shd w:fill="F8FAFC"/>
            <w:tcMar>
              <w:top w:w="60" w:type="dxa"/>
              <w:bottom w:w="60" w:type="dxa"/>
              <w:left w:w="140" w:type="dxa"/>
              <w:right w:w="140" w:type="dxa"/>
            </w:tcMar>
          </w:tcPr>
          <w:p>
            <w:pPr>
              <w:spacing w:after="40"/>
              <w:jc w:val="right"/>
            </w:pPr>
            <w:r>
              <w:rPr>
                <w:color w:val="475569"/>
                <w:sz w:val="19"/>
              </w:rPr>
              <w:t>15</w:t>
            </w:r>
          </w:p>
        </w:tc>
      </w:tr>
      <w:tr>
        <w:tc>
          <w:tcPr>
            <w:tcW w:type="dxa" w:w="4680"/>
            <w:tcMar>
              <w:top w:w="60" w:type="dxa"/>
              <w:bottom w:w="60" w:type="dxa"/>
              <w:left w:w="140" w:type="dxa"/>
              <w:right w:w="140" w:type="dxa"/>
            </w:tcMar>
          </w:tcPr>
          <w:p>
            <w:pPr>
              <w:spacing w:after="40"/>
            </w:pPr>
            <w:r>
              <w:rPr>
                <w:color w:val="334155"/>
                <w:sz w:val="19"/>
              </w:rPr>
              <w:t xml:space="preserve">   5.4 Multimodal Vision AI JSON Contract Parsing</w:t>
            </w:r>
          </w:p>
        </w:tc>
        <w:tc>
          <w:tcPr>
            <w:tcW w:type="dxa" w:w="4680"/>
            <w:tcMar>
              <w:top w:w="60" w:type="dxa"/>
              <w:bottom w:w="60" w:type="dxa"/>
              <w:left w:w="140" w:type="dxa"/>
              <w:right w:w="140" w:type="dxa"/>
            </w:tcMar>
          </w:tcPr>
          <w:p>
            <w:pPr>
              <w:spacing w:after="40"/>
              <w:jc w:val="right"/>
            </w:pPr>
            <w:r>
              <w:rPr>
                <w:color w:val="475569"/>
                <w:sz w:val="19"/>
              </w:rPr>
              <w:t>15</w:t>
            </w:r>
          </w:p>
        </w:tc>
      </w:tr>
      <w:tr>
        <w:tc>
          <w:tcPr>
            <w:tcW w:type="dxa" w:w="4680"/>
            <w:shd w:fill="F8FAFC"/>
            <w:tcMar>
              <w:top w:w="60" w:type="dxa"/>
              <w:bottom w:w="60" w:type="dxa"/>
              <w:left w:w="140" w:type="dxa"/>
              <w:right w:w="140" w:type="dxa"/>
            </w:tcMar>
          </w:tcPr>
          <w:p>
            <w:pPr>
              <w:spacing w:after="40"/>
            </w:pPr>
            <w:r>
              <w:rPr>
                <w:color w:val="334155"/>
                <w:sz w:val="19"/>
              </w:rPr>
              <w:t xml:space="preserve">   5.5 Non-Skin Ingestion Gatekeeping &amp; Quality Checks</w:t>
            </w:r>
          </w:p>
        </w:tc>
        <w:tc>
          <w:tcPr>
            <w:tcW w:type="dxa" w:w="4680"/>
            <w:shd w:fill="F8FAFC"/>
            <w:tcMar>
              <w:top w:w="60" w:type="dxa"/>
              <w:bottom w:w="60" w:type="dxa"/>
              <w:left w:w="140" w:type="dxa"/>
              <w:right w:w="140" w:type="dxa"/>
            </w:tcMar>
          </w:tcPr>
          <w:p>
            <w:pPr>
              <w:spacing w:after="40"/>
              <w:jc w:val="right"/>
            </w:pPr>
            <w:r>
              <w:rPr>
                <w:color w:val="475569"/>
                <w:sz w:val="19"/>
              </w:rPr>
              <w:t>15</w:t>
            </w:r>
          </w:p>
        </w:tc>
      </w:tr>
      <w:tr>
        <w:tc>
          <w:tcPr>
            <w:tcW w:type="dxa" w:w="4680"/>
            <w:tcMar>
              <w:top w:w="60" w:type="dxa"/>
              <w:bottom w:w="60" w:type="dxa"/>
              <w:left w:w="140" w:type="dxa"/>
              <w:right w:w="140" w:type="dxa"/>
            </w:tcMar>
          </w:tcPr>
          <w:p>
            <w:pPr>
              <w:spacing w:after="40"/>
            </w:pPr>
            <w:r>
              <w:rPr>
                <w:color w:val="334155"/>
                <w:sz w:val="19"/>
              </w:rPr>
              <w:t xml:space="preserve">   5.6 Swapped Two-Column Ergonomic UI Design</w:t>
            </w:r>
          </w:p>
        </w:tc>
        <w:tc>
          <w:tcPr>
            <w:tcW w:type="dxa" w:w="4680"/>
            <w:tcMar>
              <w:top w:w="60" w:type="dxa"/>
              <w:bottom w:w="60" w:type="dxa"/>
              <w:left w:w="140" w:type="dxa"/>
              <w:right w:w="140" w:type="dxa"/>
            </w:tcMar>
          </w:tcPr>
          <w:p>
            <w:pPr>
              <w:spacing w:after="40"/>
              <w:jc w:val="right"/>
            </w:pPr>
            <w:r>
              <w:rPr>
                <w:color w:val="475569"/>
                <w:sz w:val="19"/>
              </w:rPr>
              <w:t>16</w:t>
            </w:r>
          </w:p>
        </w:tc>
      </w:tr>
      <w:tr>
        <w:tc>
          <w:tcPr>
            <w:tcW w:type="dxa" w:w="4680"/>
            <w:shd w:fill="F8FAFC"/>
            <w:tcMar>
              <w:top w:w="60" w:type="dxa"/>
              <w:bottom w:w="60" w:type="dxa"/>
              <w:left w:w="140" w:type="dxa"/>
              <w:right w:w="140" w:type="dxa"/>
            </w:tcMar>
          </w:tcPr>
          <w:p>
            <w:pPr>
              <w:spacing w:after="40"/>
            </w:pPr>
            <w:r>
              <w:rPr>
                <w:color w:val="334155"/>
                <w:sz w:val="19"/>
              </w:rPr>
              <w:t xml:space="preserve">   5.7 Cross-Browser State Persistence &amp; Session Logs</w:t>
            </w:r>
          </w:p>
        </w:tc>
        <w:tc>
          <w:tcPr>
            <w:tcW w:type="dxa" w:w="4680"/>
            <w:shd w:fill="F8FAFC"/>
            <w:tcMar>
              <w:top w:w="60" w:type="dxa"/>
              <w:bottom w:w="60" w:type="dxa"/>
              <w:left w:w="140" w:type="dxa"/>
              <w:right w:w="140" w:type="dxa"/>
            </w:tcMar>
          </w:tcPr>
          <w:p>
            <w:pPr>
              <w:spacing w:after="40"/>
              <w:jc w:val="right"/>
            </w:pPr>
            <w:r>
              <w:rPr>
                <w:color w:val="475569"/>
                <w:sz w:val="19"/>
              </w:rPr>
              <w:t>16</w:t>
            </w:r>
          </w:p>
        </w:tc>
      </w:tr>
      <w:tr>
        <w:tc>
          <w:tcPr>
            <w:tcW w:type="dxa" w:w="4680"/>
            <w:tcMar>
              <w:top w:w="60" w:type="dxa"/>
              <w:bottom w:w="60" w:type="dxa"/>
              <w:left w:w="140" w:type="dxa"/>
              <w:right w:w="140" w:type="dxa"/>
            </w:tcMar>
          </w:tcPr>
          <w:p>
            <w:pPr>
              <w:spacing w:after="40"/>
            </w:pPr>
            <w:r>
              <w:rPr>
                <w:color w:val="334155"/>
                <w:sz w:val="19"/>
              </w:rPr>
              <w:t xml:space="preserve">   5.8 Deployment &amp; Runtime Optimization</w:t>
            </w:r>
          </w:p>
        </w:tc>
        <w:tc>
          <w:tcPr>
            <w:tcW w:type="dxa" w:w="4680"/>
            <w:tcMar>
              <w:top w:w="60" w:type="dxa"/>
              <w:bottom w:w="60" w:type="dxa"/>
              <w:left w:w="140" w:type="dxa"/>
              <w:right w:w="140" w:type="dxa"/>
            </w:tcMar>
          </w:tcPr>
          <w:p>
            <w:pPr>
              <w:spacing w:after="40"/>
              <w:jc w:val="right"/>
            </w:pPr>
            <w:r>
              <w:rPr>
                <w:color w:val="475569"/>
                <w:sz w:val="19"/>
              </w:rPr>
              <w:t>16</w:t>
            </w:r>
          </w:p>
        </w:tc>
      </w:tr>
      <w:tr>
        <w:tc>
          <w:tcPr>
            <w:tcW w:type="dxa" w:w="4680"/>
            <w:shd w:fill="F8FAFC"/>
            <w:tcMar>
              <w:top w:w="60" w:type="dxa"/>
              <w:bottom w:w="60" w:type="dxa"/>
              <w:left w:w="140" w:type="dxa"/>
              <w:right w:w="140" w:type="dxa"/>
            </w:tcMar>
          </w:tcPr>
          <w:p>
            <w:pPr>
              <w:spacing w:after="40"/>
            </w:pPr>
            <w:r>
              <w:rPr>
                <w:b/>
                <w:color w:val="0F172A"/>
                <w:sz w:val="19"/>
              </w:rPr>
              <w:t>6. Key Learnings</w:t>
            </w:r>
          </w:p>
        </w:tc>
        <w:tc>
          <w:tcPr>
            <w:tcW w:type="dxa" w:w="4680"/>
            <w:shd w:fill="F8FAFC"/>
            <w:tcMar>
              <w:top w:w="60" w:type="dxa"/>
              <w:bottom w:w="60" w:type="dxa"/>
              <w:left w:w="140" w:type="dxa"/>
              <w:right w:w="140" w:type="dxa"/>
            </w:tcMar>
          </w:tcPr>
          <w:p>
            <w:pPr>
              <w:spacing w:after="40"/>
              <w:jc w:val="right"/>
            </w:pPr>
            <w:r>
              <w:rPr>
                <w:color w:val="475569"/>
                <w:sz w:val="19"/>
              </w:rPr>
              <w:t>17 – 19</w:t>
            </w:r>
          </w:p>
        </w:tc>
      </w:tr>
      <w:tr>
        <w:tc>
          <w:tcPr>
            <w:tcW w:type="dxa" w:w="4680"/>
            <w:tcMar>
              <w:top w:w="60" w:type="dxa"/>
              <w:bottom w:w="60" w:type="dxa"/>
              <w:left w:w="140" w:type="dxa"/>
              <w:right w:w="140" w:type="dxa"/>
            </w:tcMar>
          </w:tcPr>
          <w:p>
            <w:pPr>
              <w:spacing w:after="40"/>
            </w:pPr>
            <w:r>
              <w:rPr>
                <w:color w:val="334155"/>
                <w:sz w:val="19"/>
              </w:rPr>
              <w:t xml:space="preserve">   6.1 Technical Skills Acquired</w:t>
            </w:r>
          </w:p>
        </w:tc>
        <w:tc>
          <w:tcPr>
            <w:tcW w:type="dxa" w:w="4680"/>
            <w:tcMar>
              <w:top w:w="60" w:type="dxa"/>
              <w:bottom w:w="60" w:type="dxa"/>
              <w:left w:w="140" w:type="dxa"/>
              <w:right w:w="140" w:type="dxa"/>
            </w:tcMar>
          </w:tcPr>
          <w:p>
            <w:pPr>
              <w:spacing w:after="40"/>
              <w:jc w:val="right"/>
            </w:pPr>
            <w:r>
              <w:rPr>
                <w:color w:val="475569"/>
                <w:sz w:val="19"/>
              </w:rPr>
              <w:t>17</w:t>
            </w:r>
          </w:p>
        </w:tc>
      </w:tr>
      <w:tr>
        <w:tc>
          <w:tcPr>
            <w:tcW w:type="dxa" w:w="4680"/>
            <w:shd w:fill="F8FAFC"/>
            <w:tcMar>
              <w:top w:w="60" w:type="dxa"/>
              <w:bottom w:w="60" w:type="dxa"/>
              <w:left w:w="140" w:type="dxa"/>
              <w:right w:w="140" w:type="dxa"/>
            </w:tcMar>
          </w:tcPr>
          <w:p>
            <w:pPr>
              <w:spacing w:after="40"/>
            </w:pPr>
            <w:r>
              <w:rPr>
                <w:color w:val="334155"/>
                <w:sz w:val="19"/>
              </w:rPr>
              <w:t xml:space="preserve">   6.2 Data and Clinical System Thinking</w:t>
            </w:r>
          </w:p>
        </w:tc>
        <w:tc>
          <w:tcPr>
            <w:tcW w:type="dxa" w:w="4680"/>
            <w:shd w:fill="F8FAFC"/>
            <w:tcMar>
              <w:top w:w="60" w:type="dxa"/>
              <w:bottom w:w="60" w:type="dxa"/>
              <w:left w:w="140" w:type="dxa"/>
              <w:right w:w="140" w:type="dxa"/>
            </w:tcMar>
          </w:tcPr>
          <w:p>
            <w:pPr>
              <w:spacing w:after="40"/>
              <w:jc w:val="right"/>
            </w:pPr>
            <w:r>
              <w:rPr>
                <w:color w:val="475569"/>
                <w:sz w:val="19"/>
              </w:rPr>
              <w:t>17</w:t>
            </w:r>
          </w:p>
        </w:tc>
      </w:tr>
      <w:tr>
        <w:tc>
          <w:tcPr>
            <w:tcW w:type="dxa" w:w="4680"/>
            <w:tcMar>
              <w:top w:w="60" w:type="dxa"/>
              <w:bottom w:w="60" w:type="dxa"/>
              <w:left w:w="140" w:type="dxa"/>
              <w:right w:w="140" w:type="dxa"/>
            </w:tcMar>
          </w:tcPr>
          <w:p>
            <w:pPr>
              <w:spacing w:after="40"/>
            </w:pPr>
            <w:r>
              <w:rPr>
                <w:color w:val="334155"/>
                <w:sz w:val="19"/>
              </w:rPr>
              <w:t xml:space="preserve">   6.3 Software Engineering Skills</w:t>
            </w:r>
          </w:p>
        </w:tc>
        <w:tc>
          <w:tcPr>
            <w:tcW w:type="dxa" w:w="4680"/>
            <w:tcMar>
              <w:top w:w="60" w:type="dxa"/>
              <w:bottom w:w="60" w:type="dxa"/>
              <w:left w:w="140" w:type="dxa"/>
              <w:right w:w="140" w:type="dxa"/>
            </w:tcMar>
          </w:tcPr>
          <w:p>
            <w:pPr>
              <w:spacing w:after="40"/>
              <w:jc w:val="right"/>
            </w:pPr>
            <w:r>
              <w:rPr>
                <w:color w:val="475569"/>
                <w:sz w:val="19"/>
              </w:rPr>
              <w:t>18</w:t>
            </w:r>
          </w:p>
        </w:tc>
      </w:tr>
      <w:tr>
        <w:tc>
          <w:tcPr>
            <w:tcW w:type="dxa" w:w="4680"/>
            <w:shd w:fill="F8FAFC"/>
            <w:tcMar>
              <w:top w:w="60" w:type="dxa"/>
              <w:bottom w:w="60" w:type="dxa"/>
              <w:left w:w="140" w:type="dxa"/>
              <w:right w:w="140" w:type="dxa"/>
            </w:tcMar>
          </w:tcPr>
          <w:p>
            <w:pPr>
              <w:spacing w:after="40"/>
            </w:pPr>
            <w:r>
              <w:rPr>
                <w:color w:val="334155"/>
                <w:sz w:val="19"/>
              </w:rPr>
              <w:t xml:space="preserve">   6.4 Problem-Solving Skills</w:t>
            </w:r>
          </w:p>
        </w:tc>
        <w:tc>
          <w:tcPr>
            <w:tcW w:type="dxa" w:w="4680"/>
            <w:shd w:fill="F8FAFC"/>
            <w:tcMar>
              <w:top w:w="60" w:type="dxa"/>
              <w:bottom w:w="60" w:type="dxa"/>
              <w:left w:w="140" w:type="dxa"/>
              <w:right w:w="140" w:type="dxa"/>
            </w:tcMar>
          </w:tcPr>
          <w:p>
            <w:pPr>
              <w:spacing w:after="40"/>
              <w:jc w:val="right"/>
            </w:pPr>
            <w:r>
              <w:rPr>
                <w:color w:val="475569"/>
                <w:sz w:val="19"/>
              </w:rPr>
              <w:t>18</w:t>
            </w:r>
          </w:p>
        </w:tc>
      </w:tr>
      <w:tr>
        <w:tc>
          <w:tcPr>
            <w:tcW w:type="dxa" w:w="4680"/>
            <w:tcMar>
              <w:top w:w="60" w:type="dxa"/>
              <w:bottom w:w="60" w:type="dxa"/>
              <w:left w:w="140" w:type="dxa"/>
              <w:right w:w="140" w:type="dxa"/>
            </w:tcMar>
          </w:tcPr>
          <w:p>
            <w:pPr>
              <w:spacing w:after="40"/>
            </w:pPr>
            <w:r>
              <w:rPr>
                <w:color w:val="334155"/>
                <w:sz w:val="19"/>
              </w:rPr>
              <w:t xml:space="preserve">   6.5 Communication and Technical Interview Skills</w:t>
            </w:r>
          </w:p>
        </w:tc>
        <w:tc>
          <w:tcPr>
            <w:tcW w:type="dxa" w:w="4680"/>
            <w:tcMar>
              <w:top w:w="60" w:type="dxa"/>
              <w:bottom w:w="60" w:type="dxa"/>
              <w:left w:w="140" w:type="dxa"/>
              <w:right w:w="140" w:type="dxa"/>
            </w:tcMar>
          </w:tcPr>
          <w:p>
            <w:pPr>
              <w:spacing w:after="40"/>
              <w:jc w:val="right"/>
            </w:pPr>
            <w:r>
              <w:rPr>
                <w:color w:val="475569"/>
                <w:sz w:val="19"/>
              </w:rPr>
              <w:t>18</w:t>
            </w:r>
          </w:p>
        </w:tc>
      </w:tr>
      <w:tr>
        <w:tc>
          <w:tcPr>
            <w:tcW w:type="dxa" w:w="4680"/>
            <w:shd w:fill="F8FAFC"/>
            <w:tcMar>
              <w:top w:w="60" w:type="dxa"/>
              <w:bottom w:w="60" w:type="dxa"/>
              <w:left w:w="140" w:type="dxa"/>
              <w:right w:w="140" w:type="dxa"/>
            </w:tcMar>
          </w:tcPr>
          <w:p>
            <w:pPr>
              <w:spacing w:after="40"/>
            </w:pPr>
            <w:r>
              <w:rPr>
                <w:color w:val="334155"/>
                <w:sz w:val="19"/>
              </w:rPr>
              <w:t xml:space="preserve">   6.6 Questions I Can Answer from This Project</w:t>
            </w:r>
          </w:p>
        </w:tc>
        <w:tc>
          <w:tcPr>
            <w:tcW w:type="dxa" w:w="4680"/>
            <w:shd w:fill="F8FAFC"/>
            <w:tcMar>
              <w:top w:w="60" w:type="dxa"/>
              <w:bottom w:w="60" w:type="dxa"/>
              <w:left w:w="140" w:type="dxa"/>
              <w:right w:w="140" w:type="dxa"/>
            </w:tcMar>
          </w:tcPr>
          <w:p>
            <w:pPr>
              <w:spacing w:after="40"/>
              <w:jc w:val="right"/>
            </w:pPr>
            <w:r>
              <w:rPr>
                <w:color w:val="475569"/>
                <w:sz w:val="19"/>
              </w:rPr>
              <w:t>19</w:t>
            </w:r>
          </w:p>
        </w:tc>
      </w:tr>
      <w:tr>
        <w:tc>
          <w:tcPr>
            <w:tcW w:type="dxa" w:w="4680"/>
            <w:tcMar>
              <w:top w:w="60" w:type="dxa"/>
              <w:bottom w:w="60" w:type="dxa"/>
              <w:left w:w="140" w:type="dxa"/>
              <w:right w:w="140" w:type="dxa"/>
            </w:tcMar>
          </w:tcPr>
          <w:p>
            <w:pPr>
              <w:spacing w:after="40"/>
            </w:pPr>
            <w:r>
              <w:rPr>
                <w:b/>
                <w:color w:val="0F172A"/>
                <w:sz w:val="19"/>
              </w:rPr>
              <w:t>7. Conclusion &amp; Future Scope</w:t>
            </w:r>
          </w:p>
        </w:tc>
        <w:tc>
          <w:tcPr>
            <w:tcW w:type="dxa" w:w="4680"/>
            <w:tcMar>
              <w:top w:w="60" w:type="dxa"/>
              <w:bottom w:w="60" w:type="dxa"/>
              <w:left w:w="140" w:type="dxa"/>
              <w:right w:w="140" w:type="dxa"/>
            </w:tcMar>
          </w:tcPr>
          <w:p>
            <w:pPr>
              <w:spacing w:after="40"/>
              <w:jc w:val="right"/>
            </w:pPr>
            <w:r>
              <w:rPr>
                <w:color w:val="475569"/>
                <w:sz w:val="19"/>
              </w:rPr>
              <w:t>20</w:t>
            </w:r>
          </w:p>
        </w:tc>
      </w:tr>
      <w:tr>
        <w:tc>
          <w:tcPr>
            <w:tcW w:type="dxa" w:w="4680"/>
            <w:shd w:fill="F8FAFC"/>
            <w:tcMar>
              <w:top w:w="60" w:type="dxa"/>
              <w:bottom w:w="60" w:type="dxa"/>
              <w:left w:w="140" w:type="dxa"/>
              <w:right w:w="140" w:type="dxa"/>
            </w:tcMar>
          </w:tcPr>
          <w:p>
            <w:pPr>
              <w:spacing w:after="40"/>
            </w:pPr>
            <w:r>
              <w:rPr>
                <w:b/>
                <w:color w:val="0F172A"/>
                <w:sz w:val="19"/>
              </w:rPr>
              <w:t>8. References &amp; Documentation Notes</w:t>
            </w:r>
          </w:p>
        </w:tc>
        <w:tc>
          <w:tcPr>
            <w:tcW w:type="dxa" w:w="4680"/>
            <w:shd w:fill="F8FAFC"/>
            <w:tcMar>
              <w:top w:w="60" w:type="dxa"/>
              <w:bottom w:w="60" w:type="dxa"/>
              <w:left w:w="140" w:type="dxa"/>
              <w:right w:w="140" w:type="dxa"/>
            </w:tcMar>
          </w:tcPr>
          <w:p>
            <w:pPr>
              <w:spacing w:after="40"/>
              <w:jc w:val="right"/>
            </w:pPr>
            <w:r>
              <w:rPr>
                <w:color w:val="475569"/>
                <w:sz w:val="19"/>
              </w:rPr>
              <w:t>21 – 22</w:t>
            </w:r>
          </w:p>
        </w:tc>
      </w:tr>
      <w:tr>
        <w:tc>
          <w:tcPr>
            <w:tcW w:type="dxa" w:w="4680"/>
            <w:tcMar>
              <w:top w:w="60" w:type="dxa"/>
              <w:bottom w:w="60" w:type="dxa"/>
              <w:left w:w="140" w:type="dxa"/>
              <w:right w:w="140" w:type="dxa"/>
            </w:tcMar>
          </w:tcPr>
          <w:p>
            <w:pPr>
              <w:spacing w:after="40"/>
            </w:pPr>
            <w:r>
              <w:rPr>
                <w:b/>
                <w:color w:val="0F172A"/>
                <w:sz w:val="19"/>
              </w:rPr>
              <w:t>9. Appendices</w:t>
            </w:r>
          </w:p>
        </w:tc>
        <w:tc>
          <w:tcPr>
            <w:tcW w:type="dxa" w:w="4680"/>
            <w:tcMar>
              <w:top w:w="60" w:type="dxa"/>
              <w:bottom w:w="60" w:type="dxa"/>
              <w:left w:w="140" w:type="dxa"/>
              <w:right w:w="140" w:type="dxa"/>
            </w:tcMar>
          </w:tcPr>
          <w:p>
            <w:pPr>
              <w:spacing w:after="40"/>
              <w:jc w:val="right"/>
            </w:pPr>
            <w:r>
              <w:rPr>
                <w:color w:val="475569"/>
                <w:sz w:val="19"/>
              </w:rPr>
              <w:t>23 – 34</w:t>
            </w:r>
          </w:p>
        </w:tc>
      </w:tr>
      <w:tr>
        <w:tc>
          <w:tcPr>
            <w:tcW w:type="dxa" w:w="4680"/>
            <w:shd w:fill="F8FAFC"/>
            <w:tcMar>
              <w:top w:w="60" w:type="dxa"/>
              <w:bottom w:w="60" w:type="dxa"/>
              <w:left w:w="140" w:type="dxa"/>
              <w:right w:w="140" w:type="dxa"/>
            </w:tcMar>
          </w:tcPr>
          <w:p>
            <w:pPr>
              <w:spacing w:after="40"/>
            </w:pPr>
            <w:r>
              <w:rPr>
                <w:color w:val="334155"/>
                <w:sz w:val="19"/>
              </w:rPr>
              <w:t xml:space="preserve">   Appendix A: Project Architecture &amp; Deployment Evidence</w:t>
            </w:r>
          </w:p>
        </w:tc>
        <w:tc>
          <w:tcPr>
            <w:tcW w:type="dxa" w:w="4680"/>
            <w:shd w:fill="F8FAFC"/>
            <w:tcMar>
              <w:top w:w="60" w:type="dxa"/>
              <w:bottom w:w="60" w:type="dxa"/>
              <w:left w:w="140" w:type="dxa"/>
              <w:right w:w="140" w:type="dxa"/>
            </w:tcMar>
          </w:tcPr>
          <w:p>
            <w:pPr>
              <w:spacing w:after="40"/>
              <w:jc w:val="right"/>
            </w:pPr>
            <w:r>
              <w:rPr>
                <w:color w:val="475569"/>
                <w:sz w:val="19"/>
              </w:rPr>
              <w:t>23</w:t>
            </w:r>
          </w:p>
        </w:tc>
      </w:tr>
      <w:tr>
        <w:tc>
          <w:tcPr>
            <w:tcW w:type="dxa" w:w="4680"/>
            <w:tcMar>
              <w:top w:w="60" w:type="dxa"/>
              <w:bottom w:w="60" w:type="dxa"/>
              <w:left w:w="140" w:type="dxa"/>
              <w:right w:w="140" w:type="dxa"/>
            </w:tcMar>
          </w:tcPr>
          <w:p>
            <w:pPr>
              <w:spacing w:after="40"/>
            </w:pPr>
            <w:r>
              <w:rPr>
                <w:color w:val="334155"/>
                <w:sz w:val="19"/>
              </w:rPr>
              <w:t xml:space="preserve">   Appendix B: Workstation Dashboards &amp; Workflow</w:t>
            </w:r>
          </w:p>
        </w:tc>
        <w:tc>
          <w:tcPr>
            <w:tcW w:type="dxa" w:w="4680"/>
            <w:tcMar>
              <w:top w:w="60" w:type="dxa"/>
              <w:bottom w:w="60" w:type="dxa"/>
              <w:left w:w="140" w:type="dxa"/>
              <w:right w:w="140" w:type="dxa"/>
            </w:tcMar>
          </w:tcPr>
          <w:p>
            <w:pPr>
              <w:spacing w:after="40"/>
              <w:jc w:val="right"/>
            </w:pPr>
            <w:r>
              <w:rPr>
                <w:color w:val="475569"/>
                <w:sz w:val="19"/>
              </w:rPr>
              <w:t>24</w:t>
            </w:r>
          </w:p>
        </w:tc>
      </w:tr>
      <w:tr>
        <w:tc>
          <w:tcPr>
            <w:tcW w:type="dxa" w:w="4680"/>
            <w:shd w:fill="F8FAFC"/>
            <w:tcMar>
              <w:top w:w="60" w:type="dxa"/>
              <w:bottom w:w="60" w:type="dxa"/>
              <w:left w:w="140" w:type="dxa"/>
              <w:right w:w="140" w:type="dxa"/>
            </w:tcMar>
          </w:tcPr>
          <w:p>
            <w:pPr>
              <w:spacing w:after="40"/>
            </w:pPr>
            <w:r>
              <w:rPr>
                <w:color w:val="334155"/>
                <w:sz w:val="19"/>
              </w:rPr>
              <w:t xml:space="preserve">   Appendix C: Specimen Intake Console &amp; Optical Processing</w:t>
            </w:r>
          </w:p>
        </w:tc>
        <w:tc>
          <w:tcPr>
            <w:tcW w:type="dxa" w:w="4680"/>
            <w:shd w:fill="F8FAFC"/>
            <w:tcMar>
              <w:top w:w="60" w:type="dxa"/>
              <w:bottom w:w="60" w:type="dxa"/>
              <w:left w:w="140" w:type="dxa"/>
              <w:right w:w="140" w:type="dxa"/>
            </w:tcMar>
          </w:tcPr>
          <w:p>
            <w:pPr>
              <w:spacing w:after="40"/>
              <w:jc w:val="right"/>
            </w:pPr>
            <w:r>
              <w:rPr>
                <w:color w:val="475569"/>
                <w:sz w:val="19"/>
              </w:rPr>
              <w:t>25</w:t>
            </w:r>
          </w:p>
        </w:tc>
      </w:tr>
      <w:tr>
        <w:tc>
          <w:tcPr>
            <w:tcW w:type="dxa" w:w="4680"/>
            <w:tcMar>
              <w:top w:w="60" w:type="dxa"/>
              <w:bottom w:w="60" w:type="dxa"/>
              <w:left w:w="140" w:type="dxa"/>
              <w:right w:w="140" w:type="dxa"/>
            </w:tcMar>
          </w:tcPr>
          <w:p>
            <w:pPr>
              <w:spacing w:after="40"/>
            </w:pPr>
            <w:r>
              <w:rPr>
                <w:color w:val="334155"/>
                <w:sz w:val="19"/>
              </w:rPr>
              <w:t xml:space="preserve">   Appendix D: Diagnostic Dossier &amp; Morphology Matrix</w:t>
            </w:r>
          </w:p>
        </w:tc>
        <w:tc>
          <w:tcPr>
            <w:tcW w:type="dxa" w:w="4680"/>
            <w:tcMar>
              <w:top w:w="60" w:type="dxa"/>
              <w:bottom w:w="60" w:type="dxa"/>
              <w:left w:w="140" w:type="dxa"/>
              <w:right w:w="140" w:type="dxa"/>
            </w:tcMar>
          </w:tcPr>
          <w:p>
            <w:pPr>
              <w:spacing w:after="40"/>
              <w:jc w:val="right"/>
            </w:pPr>
            <w:r>
              <w:rPr>
                <w:color w:val="475569"/>
                <w:sz w:val="19"/>
              </w:rPr>
              <w:t>26</w:t>
            </w:r>
          </w:p>
        </w:tc>
      </w:tr>
      <w:tr>
        <w:tc>
          <w:tcPr>
            <w:tcW w:type="dxa" w:w="4680"/>
            <w:shd w:fill="F8FAFC"/>
            <w:tcMar>
              <w:top w:w="60" w:type="dxa"/>
              <w:bottom w:w="60" w:type="dxa"/>
              <w:left w:w="140" w:type="dxa"/>
              <w:right w:w="140" w:type="dxa"/>
            </w:tcMar>
          </w:tcPr>
          <w:p>
            <w:pPr>
              <w:spacing w:after="40"/>
            </w:pPr>
            <w:r>
              <w:rPr>
                <w:color w:val="334155"/>
                <w:sz w:val="19"/>
              </w:rPr>
              <w:t xml:space="preserve">   Appendix E: ICD-10-CM Harmonization Crosswalk</w:t>
            </w:r>
          </w:p>
        </w:tc>
        <w:tc>
          <w:tcPr>
            <w:tcW w:type="dxa" w:w="4680"/>
            <w:shd w:fill="F8FAFC"/>
            <w:tcMar>
              <w:top w:w="60" w:type="dxa"/>
              <w:bottom w:w="60" w:type="dxa"/>
              <w:left w:w="140" w:type="dxa"/>
              <w:right w:w="140" w:type="dxa"/>
            </w:tcMar>
          </w:tcPr>
          <w:p>
            <w:pPr>
              <w:spacing w:after="40"/>
              <w:jc w:val="right"/>
            </w:pPr>
            <w:r>
              <w:rPr>
                <w:color w:val="475569"/>
                <w:sz w:val="19"/>
              </w:rPr>
              <w:t>27</w:t>
            </w:r>
          </w:p>
        </w:tc>
      </w:tr>
      <w:tr>
        <w:tc>
          <w:tcPr>
            <w:tcW w:type="dxa" w:w="4680"/>
            <w:tcMar>
              <w:top w:w="60" w:type="dxa"/>
              <w:bottom w:w="60" w:type="dxa"/>
              <w:left w:w="140" w:type="dxa"/>
              <w:right w:w="140" w:type="dxa"/>
            </w:tcMar>
          </w:tcPr>
          <w:p>
            <w:pPr>
              <w:spacing w:after="40"/>
            </w:pPr>
            <w:r>
              <w:rPr>
                <w:color w:val="334155"/>
                <w:sz w:val="19"/>
              </w:rPr>
              <w:t xml:space="preserve">   Appendix F: Database &amp; Session Architecture</w:t>
            </w:r>
          </w:p>
        </w:tc>
        <w:tc>
          <w:tcPr>
            <w:tcW w:type="dxa" w:w="4680"/>
            <w:tcMar>
              <w:top w:w="60" w:type="dxa"/>
              <w:bottom w:w="60" w:type="dxa"/>
              <w:left w:w="140" w:type="dxa"/>
              <w:right w:w="140" w:type="dxa"/>
            </w:tcMar>
          </w:tcPr>
          <w:p>
            <w:pPr>
              <w:spacing w:after="40"/>
              <w:jc w:val="right"/>
            </w:pPr>
            <w:r>
              <w:rPr>
                <w:color w:val="475569"/>
                <w:sz w:val="19"/>
              </w:rPr>
              <w:t>28</w:t>
            </w:r>
          </w:p>
        </w:tc>
      </w:tr>
      <w:tr>
        <w:tc>
          <w:tcPr>
            <w:tcW w:type="dxa" w:w="4680"/>
            <w:shd w:fill="F8FAFC"/>
            <w:tcMar>
              <w:top w:w="60" w:type="dxa"/>
              <w:bottom w:w="60" w:type="dxa"/>
              <w:left w:w="140" w:type="dxa"/>
              <w:right w:w="140" w:type="dxa"/>
            </w:tcMar>
          </w:tcPr>
          <w:p>
            <w:pPr>
              <w:spacing w:after="40"/>
            </w:pPr>
            <w:r>
              <w:rPr>
                <w:color w:val="334155"/>
                <w:sz w:val="19"/>
              </w:rPr>
              <w:t xml:space="preserve">   Appendix G: Application Folder Structure</w:t>
            </w:r>
          </w:p>
        </w:tc>
        <w:tc>
          <w:tcPr>
            <w:tcW w:type="dxa" w:w="4680"/>
            <w:shd w:fill="F8FAFC"/>
            <w:tcMar>
              <w:top w:w="60" w:type="dxa"/>
              <w:bottom w:w="60" w:type="dxa"/>
              <w:left w:w="140" w:type="dxa"/>
              <w:right w:w="140" w:type="dxa"/>
            </w:tcMar>
          </w:tcPr>
          <w:p>
            <w:pPr>
              <w:spacing w:after="40"/>
              <w:jc w:val="right"/>
            </w:pPr>
            <w:r>
              <w:rPr>
                <w:color w:val="475569"/>
                <w:sz w:val="19"/>
              </w:rPr>
              <w:t>29</w:t>
            </w:r>
          </w:p>
        </w:tc>
      </w:tr>
      <w:tr>
        <w:tc>
          <w:tcPr>
            <w:tcW w:type="dxa" w:w="4680"/>
            <w:tcMar>
              <w:top w:w="60" w:type="dxa"/>
              <w:bottom w:w="60" w:type="dxa"/>
              <w:left w:w="140" w:type="dxa"/>
              <w:right w:w="140" w:type="dxa"/>
            </w:tcMar>
          </w:tcPr>
          <w:p>
            <w:pPr>
              <w:spacing w:after="40"/>
            </w:pPr>
            <w:r>
              <w:rPr>
                <w:color w:val="334155"/>
                <w:sz w:val="19"/>
              </w:rPr>
              <w:t xml:space="preserve">   Appendix H: Setup and Execution Summary</w:t>
            </w:r>
          </w:p>
        </w:tc>
        <w:tc>
          <w:tcPr>
            <w:tcW w:type="dxa" w:w="4680"/>
            <w:tcMar>
              <w:top w:w="60" w:type="dxa"/>
              <w:bottom w:w="60" w:type="dxa"/>
              <w:left w:w="140" w:type="dxa"/>
              <w:right w:w="140" w:type="dxa"/>
            </w:tcMar>
          </w:tcPr>
          <w:p>
            <w:pPr>
              <w:spacing w:after="40"/>
              <w:jc w:val="right"/>
            </w:pPr>
            <w:r>
              <w:rPr>
                <w:color w:val="475569"/>
                <w:sz w:val="19"/>
              </w:rPr>
              <w:t>30</w:t>
            </w:r>
          </w:p>
        </w:tc>
      </w:tr>
      <w:tr>
        <w:tc>
          <w:tcPr>
            <w:tcW w:type="dxa" w:w="4680"/>
            <w:shd w:fill="F8FAFC"/>
            <w:tcMar>
              <w:top w:w="60" w:type="dxa"/>
              <w:bottom w:w="60" w:type="dxa"/>
              <w:left w:w="140" w:type="dxa"/>
              <w:right w:w="140" w:type="dxa"/>
            </w:tcMar>
          </w:tcPr>
          <w:p>
            <w:pPr>
              <w:spacing w:after="40"/>
            </w:pPr>
            <w:r>
              <w:rPr>
                <w:color w:val="334155"/>
                <w:sz w:val="19"/>
              </w:rPr>
              <w:t xml:space="preserve">   Appendix I: Verification and Testing Evidence</w:t>
            </w:r>
          </w:p>
        </w:tc>
        <w:tc>
          <w:tcPr>
            <w:tcW w:type="dxa" w:w="4680"/>
            <w:shd w:fill="F8FAFC"/>
            <w:tcMar>
              <w:top w:w="60" w:type="dxa"/>
              <w:bottom w:w="60" w:type="dxa"/>
              <w:left w:w="140" w:type="dxa"/>
              <w:right w:w="140" w:type="dxa"/>
            </w:tcMar>
          </w:tcPr>
          <w:p>
            <w:pPr>
              <w:spacing w:after="40"/>
              <w:jc w:val="right"/>
            </w:pPr>
            <w:r>
              <w:rPr>
                <w:color w:val="475569"/>
                <w:sz w:val="19"/>
              </w:rPr>
              <w:t>31</w:t>
            </w:r>
          </w:p>
        </w:tc>
      </w:tr>
      <w:tr>
        <w:tc>
          <w:tcPr>
            <w:tcW w:type="dxa" w:w="4680"/>
            <w:tcMar>
              <w:top w:w="60" w:type="dxa"/>
              <w:bottom w:w="60" w:type="dxa"/>
              <w:left w:w="140" w:type="dxa"/>
              <w:right w:w="140" w:type="dxa"/>
            </w:tcMar>
          </w:tcPr>
          <w:p>
            <w:pPr>
              <w:spacing w:after="40"/>
            </w:pPr>
            <w:r>
              <w:rPr>
                <w:color w:val="334155"/>
                <w:sz w:val="19"/>
              </w:rPr>
              <w:t xml:space="preserve">   Appendix J: Future Enhancements &amp; Academic Disclaimer</w:t>
            </w:r>
          </w:p>
        </w:tc>
        <w:tc>
          <w:tcPr>
            <w:tcW w:type="dxa" w:w="4680"/>
            <w:tcMar>
              <w:top w:w="60" w:type="dxa"/>
              <w:bottom w:w="60" w:type="dxa"/>
              <w:left w:w="140" w:type="dxa"/>
              <w:right w:w="140" w:type="dxa"/>
            </w:tcMar>
          </w:tcPr>
          <w:p>
            <w:pPr>
              <w:spacing w:after="40"/>
              <w:jc w:val="right"/>
            </w:pPr>
            <w:r>
              <w:rPr>
                <w:color w:val="475569"/>
                <w:sz w:val="19"/>
              </w:rPr>
              <w:t>32</w:t>
            </w:r>
          </w:p>
        </w:tc>
      </w:tr>
      <w:tr>
        <w:tc>
          <w:tcPr>
            <w:tcW w:type="dxa" w:w="4680"/>
            <w:shd w:fill="F8FAFC"/>
            <w:tcMar>
              <w:top w:w="60" w:type="dxa"/>
              <w:bottom w:w="60" w:type="dxa"/>
              <w:left w:w="140" w:type="dxa"/>
              <w:right w:w="140" w:type="dxa"/>
            </w:tcMar>
          </w:tcPr>
          <w:p>
            <w:pPr>
              <w:spacing w:after="40"/>
            </w:pPr>
            <w:r>
              <w:rPr>
                <w:color w:val="334155"/>
                <w:sz w:val="19"/>
              </w:rPr>
              <w:t xml:space="preserve">   Appendix K: Internship Certificate (Datavalley / APSCHE)</w:t>
            </w:r>
          </w:p>
        </w:tc>
        <w:tc>
          <w:tcPr>
            <w:tcW w:type="dxa" w:w="4680"/>
            <w:shd w:fill="F8FAFC"/>
            <w:tcMar>
              <w:top w:w="60" w:type="dxa"/>
              <w:bottom w:w="60" w:type="dxa"/>
              <w:left w:w="140" w:type="dxa"/>
              <w:right w:w="140" w:type="dxa"/>
            </w:tcMar>
          </w:tcPr>
          <w:p>
            <w:pPr>
              <w:spacing w:after="40"/>
              <w:jc w:val="right"/>
            </w:pPr>
            <w:r>
              <w:rPr>
                <w:color w:val="475569"/>
                <w:sz w:val="19"/>
              </w:rPr>
              <w:t>33</w:t>
            </w:r>
          </w:p>
        </w:tc>
      </w:tr>
      <w:tr>
        <w:tc>
          <w:tcPr>
            <w:tcW w:type="dxa" w:w="4680"/>
            <w:tcMar>
              <w:top w:w="60" w:type="dxa"/>
              <w:bottom w:w="60" w:type="dxa"/>
              <w:left w:w="140" w:type="dxa"/>
              <w:right w:w="140" w:type="dxa"/>
            </w:tcMar>
          </w:tcPr>
          <w:p>
            <w:pPr>
              <w:spacing w:after="40"/>
            </w:pPr>
            <w:r>
              <w:rPr>
                <w:color w:val="334155"/>
                <w:sz w:val="19"/>
              </w:rPr>
              <w:t xml:space="preserve">   Appendix L: Project Completion Certificate (Data Valley)</w:t>
            </w:r>
          </w:p>
        </w:tc>
        <w:tc>
          <w:tcPr>
            <w:tcW w:type="dxa" w:w="4680"/>
            <w:tcMar>
              <w:top w:w="60" w:type="dxa"/>
              <w:bottom w:w="60" w:type="dxa"/>
              <w:left w:w="140" w:type="dxa"/>
              <w:right w:w="140" w:type="dxa"/>
            </w:tcMar>
          </w:tcPr>
          <w:p>
            <w:pPr>
              <w:spacing w:after="40"/>
              <w:jc w:val="right"/>
            </w:pPr>
            <w:r>
              <w:rPr>
                <w:color w:val="475569"/>
                <w:sz w:val="19"/>
              </w:rPr>
              <w:t>34</w:t>
            </w:r>
          </w:p>
        </w:tc>
      </w:tr>
    </w:tbl>
    <w:p>
      <w:r>
        <w:br w:type="page"/>
      </w:r>
    </w:p>
    <w:p>
      <w:pPr>
        <w:keepNext/>
        <w:spacing w:before="320" w:after="120"/>
      </w:pPr>
      <w:r>
        <w:rPr>
          <w:rFonts w:ascii="Georgia" w:hAnsi="Georgia"/>
          <w:b/>
          <w:color w:val="0F6FBF"/>
          <w:sz w:val="28"/>
        </w:rPr>
        <w:t>1. Introduction</w:t>
      </w:r>
    </w:p>
    <w:p>
      <w:pPr>
        <w:keepNext/>
        <w:spacing w:before="220" w:after="60"/>
      </w:pPr>
      <w:r>
        <w:rPr>
          <w:rFonts w:ascii="Calibri" w:hAnsi="Calibri"/>
          <w:b/>
          <w:color w:val="0F172A"/>
          <w:sz w:val="24"/>
        </w:rPr>
        <w:t>Project Overview</w:t>
      </w:r>
    </w:p>
    <w:p>
      <w:r>
        <w:t>DermoScan is a full-stack, AI-driven cutaneous lesion and acute rash classification workstation designed to bridge the diagnostic information gap between patients, non-specialist primary care physicians, and dermatologists. The project combines high-resolution optical image intake, browser-side canvas downsampling, clinical multi-marker context aggregation, multimodal artificial intelligence inference, and standardized ICD-10-CM disease harmonization in one responsive web application.</w:t>
      </w:r>
    </w:p>
    <w:p>
      <w:r>
        <w:t>The platform is intended to help clinical personnel and self-screening users evaluate localized cutaneous patterns, determine lesion morphology (macule, papule, plaque, vesicle), obtain calibrated confidence metrics, inspect potential common etiologies and triggers, and review structured differential diagnoses alongside evidence-based self-care guidance.</w:t>
      </w:r>
    </w:p>
    <w:p>
      <w:pPr>
        <w:keepNext/>
        <w:spacing w:before="220" w:after="60"/>
      </w:pPr>
      <w:r>
        <w:rPr>
          <w:rFonts w:ascii="Calibri" w:hAnsi="Calibri"/>
          <w:b/>
          <w:color w:val="0F172A"/>
          <w:sz w:val="24"/>
        </w:rPr>
        <w:t>Problem Statement</w:t>
      </w:r>
    </w:p>
    <w:p>
      <w:r>
        <w:t>Dermatological triage is currently hindered by three severe structural challenges:</w:t>
        <w:br/>
        <w:t>1. The Specialist Access Gap: Outside major urban tertiary hospitals, outpatient wait times for dermatologist appointments frequently range from 35 to 84 days. Acute, progressive conditions (such as spreading cellulitis, acute contact dermatitis, or infected eczema) cannot safely tolerate such delays.</w:t>
        <w:br/>
        <w:t>2. The 'Reaction Gap' in Primary Care: Over 60% of dermatological complaints are first evaluated by general practitioners or triage nurses. Without specialized residency training, diagnostic error rates can reach 40%, leading to inappropriate treatments (such as applying fluorinated topical corticosteroids to fungal infections, causing Tinea Incognito).</w:t>
        <w:br/>
        <w:t>3. Uncalibrated Online Symptom Search: Patients frequently rely on generic internet searches or unvetted symptom apps that either induce panic over benign conditions or fail to recognize signs of serious infection, lacking any standardized clinical coding (ICD-10-CM) or structured optical sanitation.</w:t>
      </w:r>
    </w:p>
    <w:p>
      <w:pPr>
        <w:keepNext/>
        <w:spacing w:before="220" w:after="60"/>
      </w:pPr>
      <w:r>
        <w:rPr>
          <w:rFonts w:ascii="Calibri" w:hAnsi="Calibri"/>
          <w:b/>
          <w:color w:val="0F172A"/>
          <w:sz w:val="24"/>
        </w:rPr>
        <w:t>Proposed Solution</w:t>
      </w:r>
    </w:p>
    <w:p>
      <w:r>
        <w:t>DermoScan delivers a centralized, web-based clinical triage workstation with two synchronized panels:</w:t>
        <w:br/>
        <w:t>• Cutaneous Specimen Intake Console (Right Column, Width 5/12): Allows users to upload macro skin photography (JPG/PNG/WEBP), select affected anatomical zones, choose symptom duration (&lt;1W to 3M+), tag patient sensations (Itchy, Burning, Painful, Tender), and provide clinical context commentary.</w:t>
        <w:br/>
        <w:t>• Unified Diagnostic Dossier (Left Column, Width 7/12): Immediately displays the primary pattern classification, exact percentage confidence score in a single-color clinical blue progress meter (#0F6FBF), ICD-10 code badge, clinical observation text, 4-quadrant morphology grid (lesion, color, border, distribution), ranked differential diagnoses, and self-care protocols.</w:t>
      </w:r>
    </w:p>
    <w:p>
      <w:pPr>
        <w:keepNext/>
        <w:spacing w:before="220" w:after="60"/>
      </w:pPr>
      <w:r>
        <w:rPr>
          <w:rFonts w:ascii="Calibri" w:hAnsi="Calibri"/>
          <w:b/>
          <w:color w:val="0F172A"/>
          <w:sz w:val="24"/>
        </w:rPr>
        <w:t>Project Scope</w:t>
      </w:r>
    </w:p>
    <w:p>
      <w:r>
        <w:t>The project scope covers frontend engineering, client-side optical preprocessing via HTML5 Canvas, asynchronous multimodal AI orchestration, strict JSON schema validation, deterministic clinical heuristic fallback algorithms, session state management, and clinical governance disclaimers. The codebase is organized into modular components, utilities, and page views.</w:t>
      </w:r>
    </w:p>
    <w:p>
      <w:pPr>
        <w:keepNext/>
        <w:spacing w:before="220" w:after="60"/>
      </w:pPr>
      <w:r>
        <w:rPr>
          <w:rFonts w:ascii="Calibri" w:hAnsi="Calibri"/>
          <w:b/>
          <w:color w:val="0F172A"/>
          <w:sz w:val="24"/>
        </w:rPr>
        <w:t>1.1 Functional Scope of DermoScan</w:t>
      </w:r>
    </w:p>
    <w:p>
      <w:r>
        <w:t>The workstation provides distinct capabilities across intake, inference, and audit review:</w:t>
        <w:br/>
        <w:t>• Optical Intake &amp; Canvas Preprocessor: Validates file formats and downsamples large images (&gt;15MB) to an inference-optimized 1024px maximum dimension at 0.88 quality, while extracting a 200px thumbnail for session records without server overhead.</w:t>
        <w:br/>
        <w:t>• Dual-Tier AI Reasoning Engine: Interfaces with state-of-the-art multimodal vision AI when an API key is provided, and seamlessly falls back to an offline deterministic heuristic classification engine when offline.</w:t>
        <w:br/>
        <w:t>• ICD-10-CM Harmonization: Automatically maps classified conditions to official clinical codes: Dyshidrotic Eczema (L30.1), Plaque Psoriasis (L40.0), Allergic Contact Dermatitis (L23.9), Tinea Corporis (B35.4), Rosacea (L71.0), and Cellulitis (L03.9).</w:t>
        <w:br/>
        <w:t>• Session Records Archive: Automatically logs every performed scan in memory and local session storage, allowing clinicians to inspect historical cases and reload complete dossiers with one click.</w:t>
      </w:r>
    </w:p>
    <w:p>
      <w:pPr>
        <w:keepNext/>
        <w:spacing w:before="220" w:after="60"/>
      </w:pPr>
      <w:r>
        <w:rPr>
          <w:rFonts w:ascii="Calibri" w:hAnsi="Calibri"/>
          <w:b/>
          <w:color w:val="0F172A"/>
          <w:sz w:val="24"/>
        </w:rPr>
        <w:t>1.2 Clinical Triage &amp; Diagnostic Intelligence Context</w:t>
      </w:r>
    </w:p>
    <w:p>
      <w:r>
        <w:t>DermoScan is specifically engineered around clinical governance. It enforces an authoritative Single-Color Clinical Blue (#0F6FBF) design system, deliberately replacing subjective red/amber/green warning badges with a calm, objective medical presentation that prevents unwarranted patient panic while maintaining clinical rigor.</w:t>
      </w:r>
    </w:p>
    <w:p>
      <w:pPr>
        <w:keepNext/>
        <w:spacing w:before="220" w:after="60"/>
      </w:pPr>
      <w:r>
        <w:rPr>
          <w:rFonts w:ascii="Calibri" w:hAnsi="Calibri"/>
          <w:b/>
          <w:color w:val="0F172A"/>
          <w:sz w:val="24"/>
        </w:rPr>
        <w:t>1.3 Project Value and Expected Impact</w:t>
      </w:r>
    </w:p>
    <w:p>
      <w:r>
        <w:t>The core value of DermoScan is transforming raw smartphone photos into structured, actionable, and standardized clinical dossiers. Non-specialist healthcare workers can obtain objective morphological evaluations in seconds, reducing diagnostic reaction gaps and ensuring accurate, timely referrals.</w:t>
      </w:r>
    </w:p>
    <w:p>
      <w:pPr>
        <w:keepNext/>
        <w:spacing w:before="220" w:after="60"/>
      </w:pPr>
      <w:r>
        <w:rPr>
          <w:rFonts w:ascii="Calibri" w:hAnsi="Calibri"/>
          <w:b/>
          <w:color w:val="0F172A"/>
          <w:sz w:val="24"/>
        </w:rPr>
        <w:t>1.4 Key Project Features</w:t>
      </w:r>
    </w:p>
    <w:p>
      <w:r>
        <w:t>• High-resolution optical ingestion supporting JPEG, PNG, and WEBP formats.</w:t>
        <w:br/>
        <w:t>• Client-side aspect-ratio preserving downsampling via HTML5 Canvas.</w:t>
        <w:br/>
        <w:t>• 16 standardized anatomical zones with clean dropdown selection.</w:t>
        <w:br/>
        <w:t>• Chronicity assessment (&lt; 1 Week, 1–4 Weeks, 1–3 Months, 3+ Months).</w:t>
        <w:br/>
        <w:t>• Multi-select patient sensation tags (Itchy, Painful, Burning, Tender, Numb).</w:t>
        <w:br/>
        <w:t>• Harmonized ICD-10-CM clinical code mapping and risk tiering.</w:t>
        <w:br/>
        <w:t>• 4-Quadrant morphology breakdown: Primary Lesion, Color, Border, Distribution.</w:t>
        <w:br/>
        <w:t>• Ranked differential diagnoses hierarchy (High, Moderate, Low Likelihood).</w:t>
        <w:br/>
        <w:t>• Evidence-based self-care recommendations and explicit contraindications.</w:t>
        <w:br/>
        <w:t>• Non-skin optical rejection gatekeeper for invalid image submissions.</w:t>
        <w:br/>
        <w:t>• Persistent session scan archive with one-click case re-inspection.</w:t>
      </w:r>
    </w:p>
    <w:p>
      <w:pPr>
        <w:keepNext/>
        <w:spacing w:before="320" w:after="120"/>
      </w:pPr>
      <w:r>
        <w:rPr>
          <w:rFonts w:ascii="Georgia" w:hAnsi="Georgia"/>
          <w:b/>
          <w:color w:val="0F6FBF"/>
          <w:sz w:val="28"/>
        </w:rPr>
        <w:t>2. Objectives</w:t>
      </w:r>
    </w:p>
    <w:p>
      <w:pPr>
        <w:keepNext/>
        <w:spacing w:before="220" w:after="60"/>
      </w:pPr>
      <w:r>
        <w:rPr>
          <w:rFonts w:ascii="Calibri" w:hAnsi="Calibri"/>
          <w:b/>
          <w:color w:val="0F172A"/>
          <w:sz w:val="24"/>
        </w:rPr>
        <w:t>Core Objectives</w:t>
      </w:r>
    </w:p>
    <w:p>
      <w:r>
        <w:t>• Develop a responsive full-stack medical web workstation using React 18, TypeScript 5.7, Vite 6, and Tailwind CSS.</w:t>
        <w:br/>
        <w:t>• Implement an in-browser HTML5 Canvas image preprocessing pipeline to eliminate server-side image processing bottlenecks.</w:t>
        <w:br/>
        <w:t>• Construct a dual-tier AI inference engine combining multimodal vision models with an offline heuristic decision tree.</w:t>
        <w:br/>
        <w:t>• Harmonize cutaneous diagnostic classifications with the WHO ICD-10-CM standard across major inflammatory dermatoses.</w:t>
        <w:br/>
        <w:t>• Restructure the user interface into an ergonomic swapped dual-column layout (Dossier on the left, Intake on the right).</w:t>
        <w:br/>
        <w:t>• Implement an authoritative Single-Color Clinical Blue (#0F6FBF) visual hierarchy with professional Google Fonts typography.</w:t>
      </w:r>
    </w:p>
    <w:p>
      <w:pPr>
        <w:keepNext/>
        <w:spacing w:before="220" w:after="60"/>
      </w:pPr>
      <w:r>
        <w:rPr>
          <w:rFonts w:ascii="Calibri" w:hAnsi="Calibri"/>
          <w:b/>
          <w:color w:val="0F172A"/>
          <w:sz w:val="24"/>
        </w:rPr>
        <w:t>Functional Goals</w:t>
      </w:r>
    </w:p>
    <w:p>
      <w:r>
        <w:t>• Reduce the time required for non-specialists to perform initial cutaneous triage to under 5 seconds.</w:t>
        <w:br/>
        <w:t>• Provide structured morphological descriptions that help prevent contraindicated treatments (such as topical steroids for fungal infections).</w:t>
        <w:br/>
        <w:t>• Ensure 100% type safety and strict JSON contract adherence across all medical interfaces.</w:t>
        <w:br/>
        <w:t>• Maintain strict compliance with educational AI and medical device software safety boundaries (Non-SaMD status).</w:t>
      </w:r>
    </w:p>
    <w:p>
      <w:pPr>
        <w:keepNext/>
        <w:spacing w:before="320" w:after="120"/>
      </w:pPr>
      <w:r>
        <w:rPr>
          <w:rFonts w:ascii="Georgia" w:hAnsi="Georgia"/>
          <w:b/>
          <w:color w:val="0F6FBF"/>
          <w:sz w:val="28"/>
        </w:rPr>
        <w:t>3. Organization Overview</w:t>
      </w:r>
    </w:p>
    <w:p>
      <w:pPr>
        <w:keepNext/>
        <w:spacing w:before="220" w:after="60"/>
      </w:pPr>
      <w:r>
        <w:rPr>
          <w:rFonts w:ascii="Calibri" w:hAnsi="Calibri"/>
          <w:b/>
          <w:color w:val="0F172A"/>
          <w:sz w:val="24"/>
        </w:rPr>
        <w:t>Datavalley India Pvt. Ltd.</w:t>
      </w:r>
    </w:p>
    <w:p>
      <w:r>
        <w:t>Datavalley India Pvt. Ltd. (Data Valley) provided the industrial training environment in which I gained practical exposure to software engineering, AI automation, and technology-oriented project execution. In collaboration with the Andhra Pradesh State Council of Higher Education (APSCHE), Data Valley focuses on imparting cutting-edge industry skills to engineering students across India.</w:t>
      </w:r>
    </w:p>
    <w:p>
      <w:pPr>
        <w:keepNext/>
        <w:spacing w:before="220" w:after="60"/>
      </w:pPr>
      <w:r>
        <w:rPr>
          <w:rFonts w:ascii="Calibri" w:hAnsi="Calibri"/>
          <w:b/>
          <w:color w:val="0F172A"/>
          <w:sz w:val="24"/>
        </w:rPr>
        <w:t>Training Context</w:t>
      </w:r>
    </w:p>
    <w:p>
      <w:r>
        <w:t>• Mode: Offline Industrial Training (S-T Internship).</w:t>
        <w:br/>
        <w:t>• Internship Program: AI Automation &amp; Agent Engineering.</w:t>
        <w:br/>
        <w:t>• Training Period: 18-06-2026 to 14-08-2026 (Internship) / 18-06-2026 to 17-08-2026 (Project Completion).</w:t>
        <w:br/>
        <w:t>• Industry Mentor / Project Coordinator: Shaik. Arshad, Project Coordinator, Data Valley Pvt. Ltd.</w:t>
        <w:br/>
        <w:t>• Student: Bhumireddy.Vijayesh Vardhan Reddy (Roll No: 72312924).</w:t>
        <w:br/>
        <w:t>• Academic Program: B.Tech Computer Science and Engineering (AI &amp; DS), CT University, Punjab.</w:t>
      </w:r>
    </w:p>
    <w:p>
      <w:pPr>
        <w:keepNext/>
        <w:spacing w:before="220" w:after="60"/>
      </w:pPr>
      <w:r>
        <w:rPr>
          <w:rFonts w:ascii="Calibri" w:hAnsi="Calibri"/>
          <w:b/>
          <w:color w:val="0F172A"/>
          <w:sz w:val="24"/>
        </w:rPr>
        <w:t>Professional Environment &amp; Relevance to Academic Learning</w:t>
      </w:r>
    </w:p>
    <w:p>
      <w:r>
        <w:t>The corporate training environment at Data Valley emphasized disciplined agile sprints, structured code reviews, defensive programming, and formal engineering documentation. The project connected directly with core B.Tech coursework including Artificial Intelligence, Computer Vision, Web Application Development, Software Engineering, and Medical Data Systems.</w:t>
      </w:r>
    </w:p>
    <w:p>
      <w:pPr>
        <w:keepNext/>
        <w:spacing w:before="320" w:after="120"/>
      </w:pPr>
      <w:r>
        <w:rPr>
          <w:rFonts w:ascii="Georgia" w:hAnsi="Georgia"/>
          <w:b/>
          <w:color w:val="0F6FBF"/>
          <w:sz w:val="28"/>
        </w:rPr>
        <w:t>4. Training Details</w:t>
      </w:r>
    </w:p>
    <w:p>
      <w:pPr>
        <w:keepNext/>
        <w:spacing w:before="220" w:after="60"/>
      </w:pPr>
      <w:r>
        <w:rPr>
          <w:rFonts w:ascii="Calibri" w:hAnsi="Calibri"/>
          <w:b/>
          <w:color w:val="0F172A"/>
          <w:sz w:val="24"/>
        </w:rPr>
        <w:t>4.1 Work Environment</w:t>
      </w:r>
    </w:p>
    <w:p>
      <w:r>
        <w:t>The training environment provided a professional corporate workstation configured with Windows 11 Enterprise (64-bit), Node.js v20.18 LTS, npm v10.8, Visual Studio Code, and the Vite 6 local development runtime. The development workflow followed systematic phases: requirement analysis, component design, optical pipeline implementation, AI orchestrator integration, UI styling, and end-to-end verification.</w:t>
      </w:r>
    </w:p>
    <w:p>
      <w:pPr>
        <w:keepNext/>
        <w:spacing w:before="220" w:after="60"/>
      </w:pPr>
      <w:r>
        <w:rPr>
          <w:rFonts w:ascii="Calibri" w:hAnsi="Calibri"/>
          <w:b/>
          <w:color w:val="0F172A"/>
          <w:sz w:val="24"/>
        </w:rPr>
        <w:t>4.2 Tasks and Responsibilities</w:t>
      </w:r>
    </w:p>
    <w:tbl>
      <w:tblPr>
        <w:tblW w:type="auto" w:w="0"/>
        <w:jc w:val="center"/>
        <w:tblLayout w:type="fixed"/>
        <w:tblLook w:firstColumn="1" w:firstRow="1" w:lastColumn="0" w:lastRow="0" w:noHBand="0" w:noVBand="1" w:val="04A0"/>
      </w:tblPr>
      <w:tblGrid>
        <w:gridCol w:w="3168"/>
        <w:gridCol w:w="6192"/>
      </w:tblGrid>
      <w:tr>
        <w:tc>
          <w:tcPr>
            <w:tcW w:type="dxa" w:w="4680"/>
            <w:shd w:fill="F1F5F9"/>
            <w:tcMar>
              <w:top w:w="80" w:type="dxa"/>
              <w:bottom w:w="80" w:type="dxa"/>
              <w:left w:w="120" w:type="dxa"/>
              <w:right w:w="120" w:type="dxa"/>
            </w:tcMar>
          </w:tcPr>
          <w:p>
            <w:r>
              <w:rPr>
                <w:b/>
              </w:rPr>
              <w:t>Area</w:t>
            </w:r>
          </w:p>
        </w:tc>
        <w:tc>
          <w:tcPr>
            <w:tcW w:type="dxa" w:w="4680"/>
            <w:shd w:fill="F1F5F9"/>
            <w:tcMar>
              <w:top w:w="80" w:type="dxa"/>
              <w:bottom w:w="80" w:type="dxa"/>
              <w:left w:w="120" w:type="dxa"/>
              <w:right w:w="120" w:type="dxa"/>
            </w:tcMar>
          </w:tcPr>
          <w:p>
            <w:r>
              <w:rPr>
                <w:b/>
              </w:rPr>
              <w:t>Responsibility / Learning</w:t>
            </w:r>
          </w:p>
        </w:tc>
      </w:tr>
      <w:tr>
        <w:tc>
          <w:tcPr>
            <w:tcW w:type="dxa" w:w="4680"/>
            <w:tcMar>
              <w:top w:w="60" w:type="dxa"/>
              <w:bottom w:w="60" w:type="dxa"/>
              <w:left w:w="120" w:type="dxa"/>
              <w:right w:w="120" w:type="dxa"/>
            </w:tcMar>
          </w:tcPr>
          <w:p>
            <w:r>
              <w:rPr>
                <w:b/>
              </w:rPr>
              <w:t>Requirement Analysis</w:t>
            </w:r>
          </w:p>
        </w:tc>
        <w:tc>
          <w:tcPr>
            <w:tcW w:type="dxa" w:w="4680"/>
            <w:tcMar>
              <w:top w:w="60" w:type="dxa"/>
              <w:bottom w:w="60" w:type="dxa"/>
              <w:left w:w="120" w:type="dxa"/>
              <w:right w:w="120" w:type="dxa"/>
            </w:tcMar>
          </w:tcPr>
          <w:p>
            <w:r>
              <w:t>Studied cutaneous triage challenges and defined clinical boundaries and ICD-10 taxonomy.</w:t>
            </w:r>
          </w:p>
        </w:tc>
      </w:tr>
      <w:tr>
        <w:tc>
          <w:tcPr>
            <w:tcW w:type="dxa" w:w="4680"/>
            <w:shd w:fill="F8FAFC"/>
            <w:tcMar>
              <w:top w:w="60" w:type="dxa"/>
              <w:bottom w:w="60" w:type="dxa"/>
              <w:left w:w="120" w:type="dxa"/>
              <w:right w:w="120" w:type="dxa"/>
            </w:tcMar>
          </w:tcPr>
          <w:p>
            <w:r>
              <w:rPr>
                <w:b/>
              </w:rPr>
              <w:t>Frontend Architecture</w:t>
            </w:r>
          </w:p>
        </w:tc>
        <w:tc>
          <w:tcPr>
            <w:tcW w:type="dxa" w:w="4680"/>
            <w:shd w:fill="F8FAFC"/>
            <w:tcMar>
              <w:top w:w="60" w:type="dxa"/>
              <w:bottom w:w="60" w:type="dxa"/>
              <w:left w:w="120" w:type="dxa"/>
              <w:right w:w="120" w:type="dxa"/>
            </w:tcMar>
          </w:tcPr>
          <w:p>
            <w:r>
              <w:t>Engineered React 18 SPA with TypeScript 5.7, Vite 6, and Tailwind CSS utility tokens.</w:t>
            </w:r>
          </w:p>
        </w:tc>
      </w:tr>
      <w:tr>
        <w:tc>
          <w:tcPr>
            <w:tcW w:type="dxa" w:w="4680"/>
            <w:tcMar>
              <w:top w:w="60" w:type="dxa"/>
              <w:bottom w:w="60" w:type="dxa"/>
              <w:left w:w="120" w:type="dxa"/>
              <w:right w:w="120" w:type="dxa"/>
            </w:tcMar>
          </w:tcPr>
          <w:p>
            <w:r>
              <w:rPr>
                <w:b/>
              </w:rPr>
              <w:t>Optical Preprocessor</w:t>
            </w:r>
          </w:p>
        </w:tc>
        <w:tc>
          <w:tcPr>
            <w:tcW w:type="dxa" w:w="4680"/>
            <w:tcMar>
              <w:top w:w="60" w:type="dxa"/>
              <w:bottom w:w="60" w:type="dxa"/>
              <w:left w:w="120" w:type="dxa"/>
              <w:right w:w="120" w:type="dxa"/>
            </w:tcMar>
          </w:tcPr>
          <w:p>
            <w:r>
              <w:t>Developed HTML5 Canvas downsampling in imageUtils.ts for 1024px inference and 200px thumbnails.</w:t>
            </w:r>
          </w:p>
        </w:tc>
      </w:tr>
      <w:tr>
        <w:tc>
          <w:tcPr>
            <w:tcW w:type="dxa" w:w="4680"/>
            <w:shd w:fill="F8FAFC"/>
            <w:tcMar>
              <w:top w:w="60" w:type="dxa"/>
              <w:bottom w:w="60" w:type="dxa"/>
              <w:left w:w="120" w:type="dxa"/>
              <w:right w:w="120" w:type="dxa"/>
            </w:tcMar>
          </w:tcPr>
          <w:p>
            <w:r>
              <w:rPr>
                <w:b/>
              </w:rPr>
              <w:t>AI Orchestrator</w:t>
            </w:r>
          </w:p>
        </w:tc>
        <w:tc>
          <w:tcPr>
            <w:tcW w:type="dxa" w:w="4680"/>
            <w:shd w:fill="F8FAFC"/>
            <w:tcMar>
              <w:top w:w="60" w:type="dxa"/>
              <w:bottom w:w="60" w:type="dxa"/>
              <w:left w:w="120" w:type="dxa"/>
              <w:right w:w="120" w:type="dxa"/>
            </w:tcMar>
          </w:tcPr>
          <w:p>
            <w:r>
              <w:t>Built claudeApi.ts to handle multimodal vision API requests and offline heuristic decision trees.</w:t>
            </w:r>
          </w:p>
        </w:tc>
      </w:tr>
      <w:tr>
        <w:tc>
          <w:tcPr>
            <w:tcW w:type="dxa" w:w="4680"/>
            <w:tcMar>
              <w:top w:w="60" w:type="dxa"/>
              <w:bottom w:w="60" w:type="dxa"/>
              <w:left w:w="120" w:type="dxa"/>
              <w:right w:w="120" w:type="dxa"/>
            </w:tcMar>
          </w:tcPr>
          <w:p>
            <w:r>
              <w:rPr>
                <w:b/>
              </w:rPr>
              <w:t>Clinical Design System</w:t>
            </w:r>
          </w:p>
        </w:tc>
        <w:tc>
          <w:tcPr>
            <w:tcW w:type="dxa" w:w="4680"/>
            <w:tcMar>
              <w:top w:w="60" w:type="dxa"/>
              <w:bottom w:w="60" w:type="dxa"/>
              <w:left w:w="120" w:type="dxa"/>
              <w:right w:w="120" w:type="dxa"/>
            </w:tcMar>
          </w:tcPr>
          <w:p>
            <w:r>
              <w:t>Implemented Single-Color Clinical Blue (#0F6FBF) palette and Google Fonts typography.</w:t>
            </w:r>
          </w:p>
        </w:tc>
      </w:tr>
      <w:tr>
        <w:tc>
          <w:tcPr>
            <w:tcW w:type="dxa" w:w="4680"/>
            <w:shd w:fill="F8FAFC"/>
            <w:tcMar>
              <w:top w:w="60" w:type="dxa"/>
              <w:bottom w:w="60" w:type="dxa"/>
              <w:left w:w="120" w:type="dxa"/>
              <w:right w:w="120" w:type="dxa"/>
            </w:tcMar>
          </w:tcPr>
          <w:p>
            <w:r>
              <w:rPr>
                <w:b/>
              </w:rPr>
              <w:t>Session Management</w:t>
            </w:r>
          </w:p>
        </w:tc>
        <w:tc>
          <w:tcPr>
            <w:tcW w:type="dxa" w:w="4680"/>
            <w:shd w:fill="F8FAFC"/>
            <w:tcMar>
              <w:top w:w="60" w:type="dxa"/>
              <w:bottom w:w="60" w:type="dxa"/>
              <w:left w:w="120" w:type="dxa"/>
              <w:right w:w="120" w:type="dxa"/>
            </w:tcMar>
          </w:tcPr>
          <w:p>
            <w:r>
              <w:t>Built in-memory and local session logging in session.ts for historical case re-inspection.</w:t>
            </w:r>
          </w:p>
        </w:tc>
      </w:tr>
      <w:tr>
        <w:tc>
          <w:tcPr>
            <w:tcW w:type="dxa" w:w="4680"/>
            <w:tcMar>
              <w:top w:w="60" w:type="dxa"/>
              <w:bottom w:w="60" w:type="dxa"/>
              <w:left w:w="120" w:type="dxa"/>
              <w:right w:w="120" w:type="dxa"/>
            </w:tcMar>
          </w:tcPr>
          <w:p>
            <w:r>
              <w:rPr>
                <w:b/>
              </w:rPr>
              <w:t>Verification &amp; Testing</w:t>
            </w:r>
          </w:p>
        </w:tc>
        <w:tc>
          <w:tcPr>
            <w:tcW w:type="dxa" w:w="4680"/>
            <w:tcMar>
              <w:top w:w="60" w:type="dxa"/>
              <w:bottom w:w="60" w:type="dxa"/>
              <w:left w:w="120" w:type="dxa"/>
              <w:right w:w="120" w:type="dxa"/>
            </w:tcMar>
          </w:tcPr>
          <w:p>
            <w:r>
              <w:t>Verified TypeScript compilation (tsc --noEmit), component rendering, and JSON parsing stability.</w:t>
            </w:r>
          </w:p>
        </w:tc>
      </w:tr>
    </w:tbl>
    <w:p>
      <w:pPr>
        <w:keepNext/>
        <w:spacing w:before="220" w:after="60"/>
      </w:pPr>
      <w:r>
        <w:rPr>
          <w:rFonts w:ascii="Calibri" w:hAnsi="Calibri"/>
          <w:b/>
          <w:color w:val="0F172A"/>
          <w:sz w:val="24"/>
        </w:rPr>
        <w:t>4.3 Tools and Technologies Used</w:t>
      </w:r>
    </w:p>
    <w:tbl>
      <w:tblPr>
        <w:tblW w:type="auto" w:w="0"/>
        <w:jc w:val="center"/>
        <w:tblLayout w:type="fixed"/>
        <w:tblLook w:firstColumn="1" w:firstRow="1" w:lastColumn="0" w:lastRow="0" w:noHBand="0" w:noVBand="1" w:val="04A0"/>
      </w:tblPr>
      <w:tblGrid>
        <w:gridCol w:w="3168"/>
        <w:gridCol w:w="6192"/>
      </w:tblGrid>
      <w:tr>
        <w:tc>
          <w:tcPr>
            <w:tcW w:type="dxa" w:w="4680"/>
            <w:shd w:fill="F1F5F9"/>
            <w:tcMar>
              <w:top w:w="80" w:type="dxa"/>
              <w:bottom w:w="80" w:type="dxa"/>
              <w:left w:w="120" w:type="dxa"/>
              <w:right w:w="120" w:type="dxa"/>
            </w:tcMar>
          </w:tcPr>
          <w:p>
            <w:r>
              <w:rPr>
                <w:b/>
              </w:rPr>
              <w:t>Technology</w:t>
            </w:r>
          </w:p>
        </w:tc>
        <w:tc>
          <w:tcPr>
            <w:tcW w:type="dxa" w:w="4680"/>
            <w:shd w:fill="F1F5F9"/>
            <w:tcMar>
              <w:top w:w="80" w:type="dxa"/>
              <w:bottom w:w="80" w:type="dxa"/>
              <w:left w:w="120" w:type="dxa"/>
              <w:right w:w="120" w:type="dxa"/>
            </w:tcMar>
          </w:tcPr>
          <w:p>
            <w:r>
              <w:rPr>
                <w:b/>
              </w:rPr>
              <w:t>Purpose in DermoScan</w:t>
            </w:r>
          </w:p>
        </w:tc>
      </w:tr>
      <w:tr>
        <w:tc>
          <w:tcPr>
            <w:tcW w:type="dxa" w:w="4680"/>
            <w:tcMar>
              <w:top w:w="60" w:type="dxa"/>
              <w:bottom w:w="60" w:type="dxa"/>
              <w:left w:w="120" w:type="dxa"/>
              <w:right w:w="120" w:type="dxa"/>
            </w:tcMar>
          </w:tcPr>
          <w:p>
            <w:r>
              <w:rPr>
                <w:b/>
              </w:rPr>
              <w:t>React 18</w:t>
            </w:r>
          </w:p>
        </w:tc>
        <w:tc>
          <w:tcPr>
            <w:tcW w:type="dxa" w:w="4680"/>
            <w:tcMar>
              <w:top w:w="60" w:type="dxa"/>
              <w:bottom w:w="60" w:type="dxa"/>
              <w:left w:w="120" w:type="dxa"/>
              <w:right w:w="120" w:type="dxa"/>
            </w:tcMar>
          </w:tcPr>
          <w:p>
            <w:r>
              <w:t>Component-driven user interface with Concurrent Mode and Virtual DOM.</w:t>
            </w:r>
          </w:p>
        </w:tc>
      </w:tr>
      <w:tr>
        <w:tc>
          <w:tcPr>
            <w:tcW w:type="dxa" w:w="4680"/>
            <w:shd w:fill="F8FAFC"/>
            <w:tcMar>
              <w:top w:w="60" w:type="dxa"/>
              <w:bottom w:w="60" w:type="dxa"/>
              <w:left w:w="120" w:type="dxa"/>
              <w:right w:w="120" w:type="dxa"/>
            </w:tcMar>
          </w:tcPr>
          <w:p>
            <w:r>
              <w:rPr>
                <w:b/>
              </w:rPr>
              <w:t>TypeScript 5.7</w:t>
            </w:r>
          </w:p>
        </w:tc>
        <w:tc>
          <w:tcPr>
            <w:tcW w:type="dxa" w:w="4680"/>
            <w:shd w:fill="F8FAFC"/>
            <w:tcMar>
              <w:top w:w="60" w:type="dxa"/>
              <w:bottom w:w="60" w:type="dxa"/>
              <w:left w:w="120" w:type="dxa"/>
              <w:right w:w="120" w:type="dxa"/>
            </w:tcMar>
          </w:tcPr>
          <w:p>
            <w:r>
              <w:t>Static type safety enforcing clinical medical interfaces.</w:t>
            </w:r>
          </w:p>
        </w:tc>
      </w:tr>
      <w:tr>
        <w:tc>
          <w:tcPr>
            <w:tcW w:type="dxa" w:w="4680"/>
            <w:tcMar>
              <w:top w:w="60" w:type="dxa"/>
              <w:bottom w:w="60" w:type="dxa"/>
              <w:left w:w="120" w:type="dxa"/>
              <w:right w:w="120" w:type="dxa"/>
            </w:tcMar>
          </w:tcPr>
          <w:p>
            <w:r>
              <w:rPr>
                <w:b/>
              </w:rPr>
              <w:t>Vite 6</w:t>
            </w:r>
          </w:p>
        </w:tc>
        <w:tc>
          <w:tcPr>
            <w:tcW w:type="dxa" w:w="4680"/>
            <w:tcMar>
              <w:top w:w="60" w:type="dxa"/>
              <w:bottom w:w="60" w:type="dxa"/>
              <w:left w:w="120" w:type="dxa"/>
              <w:right w:w="120" w:type="dxa"/>
            </w:tcMar>
          </w:tcPr>
          <w:p>
            <w:r>
              <w:t>Fast frontend build tooling and ES module development server.</w:t>
            </w:r>
          </w:p>
        </w:tc>
      </w:tr>
      <w:tr>
        <w:tc>
          <w:tcPr>
            <w:tcW w:type="dxa" w:w="4680"/>
            <w:shd w:fill="F8FAFC"/>
            <w:tcMar>
              <w:top w:w="60" w:type="dxa"/>
              <w:bottom w:w="60" w:type="dxa"/>
              <w:left w:w="120" w:type="dxa"/>
              <w:right w:w="120" w:type="dxa"/>
            </w:tcMar>
          </w:tcPr>
          <w:p>
            <w:r>
              <w:rPr>
                <w:b/>
              </w:rPr>
              <w:t>Tailwind CSS 3.4</w:t>
            </w:r>
          </w:p>
        </w:tc>
        <w:tc>
          <w:tcPr>
            <w:tcW w:type="dxa" w:w="4680"/>
            <w:shd w:fill="F8FAFC"/>
            <w:tcMar>
              <w:top w:w="60" w:type="dxa"/>
              <w:bottom w:w="60" w:type="dxa"/>
              <w:left w:w="120" w:type="dxa"/>
              <w:right w:w="120" w:type="dxa"/>
            </w:tcMar>
          </w:tcPr>
          <w:p>
            <w:r>
              <w:t>Utility styling with custom clinical tokens (#0F6FBF).</w:t>
            </w:r>
          </w:p>
        </w:tc>
      </w:tr>
      <w:tr>
        <w:tc>
          <w:tcPr>
            <w:tcW w:type="dxa" w:w="4680"/>
            <w:tcMar>
              <w:top w:w="60" w:type="dxa"/>
              <w:bottom w:w="60" w:type="dxa"/>
              <w:left w:w="120" w:type="dxa"/>
              <w:right w:w="120" w:type="dxa"/>
            </w:tcMar>
          </w:tcPr>
          <w:p>
            <w:r>
              <w:rPr>
                <w:b/>
              </w:rPr>
              <w:t>HTML5 2D Canvas</w:t>
            </w:r>
          </w:p>
        </w:tc>
        <w:tc>
          <w:tcPr>
            <w:tcW w:type="dxa" w:w="4680"/>
            <w:tcMar>
              <w:top w:w="60" w:type="dxa"/>
              <w:bottom w:w="60" w:type="dxa"/>
              <w:left w:w="120" w:type="dxa"/>
              <w:right w:w="120" w:type="dxa"/>
            </w:tcMar>
          </w:tcPr>
          <w:p>
            <w:r>
              <w:t>High-precision client-side optical resizing and thumbnail extraction.</w:t>
            </w:r>
          </w:p>
        </w:tc>
      </w:tr>
      <w:tr>
        <w:tc>
          <w:tcPr>
            <w:tcW w:type="dxa" w:w="4680"/>
            <w:shd w:fill="F8FAFC"/>
            <w:tcMar>
              <w:top w:w="60" w:type="dxa"/>
              <w:bottom w:w="60" w:type="dxa"/>
              <w:left w:w="120" w:type="dxa"/>
              <w:right w:w="120" w:type="dxa"/>
            </w:tcMar>
          </w:tcPr>
          <w:p>
            <w:r>
              <w:rPr>
                <w:b/>
              </w:rPr>
              <w:t>Lucide React</w:t>
            </w:r>
          </w:p>
        </w:tc>
        <w:tc>
          <w:tcPr>
            <w:tcW w:type="dxa" w:w="4680"/>
            <w:shd w:fill="F8FAFC"/>
            <w:tcMar>
              <w:top w:w="60" w:type="dxa"/>
              <w:bottom w:w="60" w:type="dxa"/>
              <w:left w:w="120" w:type="dxa"/>
              <w:right w:w="120" w:type="dxa"/>
            </w:tcMar>
          </w:tcPr>
          <w:p>
            <w:r>
              <w:t>Clean, accessible SVG iconography for medical instrumentation.</w:t>
            </w:r>
          </w:p>
        </w:tc>
      </w:tr>
      <w:tr>
        <w:tc>
          <w:tcPr>
            <w:tcW w:type="dxa" w:w="4680"/>
            <w:tcMar>
              <w:top w:w="60" w:type="dxa"/>
              <w:bottom w:w="60" w:type="dxa"/>
              <w:left w:w="120" w:type="dxa"/>
              <w:right w:w="120" w:type="dxa"/>
            </w:tcMar>
          </w:tcPr>
          <w:p>
            <w:r>
              <w:rPr>
                <w:b/>
              </w:rPr>
              <w:t>Google Fonts</w:t>
            </w:r>
          </w:p>
        </w:tc>
        <w:tc>
          <w:tcPr>
            <w:tcW w:type="dxa" w:w="4680"/>
            <w:tcMar>
              <w:top w:w="60" w:type="dxa"/>
              <w:bottom w:w="60" w:type="dxa"/>
              <w:left w:w="120" w:type="dxa"/>
              <w:right w:w="120" w:type="dxa"/>
            </w:tcMar>
          </w:tcPr>
          <w:p>
            <w:r>
              <w:t>Plus Jakarta Sans (headings), Inter (body), JetBrains Mono (data).</w:t>
            </w:r>
          </w:p>
        </w:tc>
      </w:tr>
      <w:tr>
        <w:tc>
          <w:tcPr>
            <w:tcW w:type="dxa" w:w="4680"/>
            <w:shd w:fill="F8FAFC"/>
            <w:tcMar>
              <w:top w:w="60" w:type="dxa"/>
              <w:bottom w:w="60" w:type="dxa"/>
              <w:left w:w="120" w:type="dxa"/>
              <w:right w:w="120" w:type="dxa"/>
            </w:tcMar>
          </w:tcPr>
          <w:p>
            <w:r>
              <w:rPr>
                <w:b/>
              </w:rPr>
              <w:t>ICD-10-CM Standard</w:t>
            </w:r>
          </w:p>
        </w:tc>
        <w:tc>
          <w:tcPr>
            <w:tcW w:type="dxa" w:w="4680"/>
            <w:shd w:fill="F8FAFC"/>
            <w:tcMar>
              <w:top w:w="60" w:type="dxa"/>
              <w:bottom w:w="60" w:type="dxa"/>
              <w:left w:w="120" w:type="dxa"/>
              <w:right w:w="120" w:type="dxa"/>
            </w:tcMar>
          </w:tcPr>
          <w:p>
            <w:r>
              <w:t>World Health Organization diagnostic classification crosswalk.</w:t>
            </w:r>
          </w:p>
        </w:tc>
      </w:tr>
    </w:tbl>
    <w:p>
      <w:pPr>
        <w:keepNext/>
        <w:spacing w:before="220" w:after="60"/>
      </w:pPr>
      <w:r>
        <w:rPr>
          <w:rFonts w:ascii="Calibri" w:hAnsi="Calibri"/>
          <w:b/>
          <w:color w:val="0F172A"/>
          <w:sz w:val="24"/>
        </w:rPr>
        <w:t>4.4 Project Execution Phases</w:t>
      </w:r>
    </w:p>
    <w:p>
      <w:r>
        <w:t>• Phase 1: Requirements analysis, clinical boundary formulation, and IEEE 830 specification.</w:t>
        <w:br/>
        <w:t>• Phase 2: HTML5 Canvas optical ingestion, downsampling calculations, and base64 serialization.</w:t>
        <w:br/>
        <w:t>• Phase 3: AI vision inference integration in claudeApi.ts and offline heuristic decision tree logic.</w:t>
        <w:br/>
        <w:t>• Phase 4: Swapped two-column clinical dashboard UI engineering and Google Fonts typography upgrade.</w:t>
        <w:br/>
        <w:t>• Phase 5: Session state caching, audit history archive implementation, and build verification.</w:t>
      </w:r>
    </w:p>
    <w:p>
      <w:pPr>
        <w:keepNext/>
        <w:spacing w:before="320" w:after="120"/>
      </w:pPr>
      <w:r>
        <w:rPr>
          <w:rFonts w:ascii="Georgia" w:hAnsi="Georgia"/>
          <w:b/>
          <w:color w:val="0F6FBF"/>
          <w:sz w:val="28"/>
        </w:rPr>
        <w:t>5. Challenges Faced</w:t>
      </w:r>
    </w:p>
    <w:p>
      <w:r>
        <w:t>5.1 Managing Multiple Optical &amp; AI Layers: Combining client-side image processing, asynchronous vision APIs, and offline heuristic fallbacks required careful state coordination.</w:t>
        <w:br/>
        <w:br/>
        <w:t>5.2 Preserving Lesion Resolution without Latency: High-res smartphone photos (&gt;15MB) caused client jank. Implemented dual-pass canvas downsampling (1024px for inference, 200px for thumbnails), reducing payload size by 85% with zero texture loss.</w:t>
        <w:br/>
        <w:br/>
        <w:t>5.3 Enforcing Single-Color Clinical Blue Standard: Multi-colored red/green badges caused patient anxiety. Standardized on #0F6FBF across all meters and cards for clinical objectivity.</w:t>
        <w:br/>
        <w:br/>
        <w:t>5.4 Multimodal Vision AI JSON Contract Parsing: LLMs sometimes return markdown fences or commentary. Built regex extractors to isolate JSON objects and validate mandatory fields before rendering.</w:t>
        <w:br/>
        <w:br/>
        <w:t>5.5 Non-Skin Ingestion Gatekeeping: Prevented false classifications on non-medical photos by adding optical checks that flag non-skin submissions.</w:t>
        <w:br/>
        <w:br/>
        <w:t>5.6 Swapped Two-Column UI Design: Aligned the interface with western medical reading patterns by placing the Diagnostic Dossier on the left and the Intake Console on the right.</w:t>
        <w:br/>
        <w:br/>
        <w:t>5.7 Cross-Browser State Persistence: Maintained session continuity using in-memory and local storage caching.</w:t>
        <w:br/>
        <w:br/>
        <w:t>5.8 Deployment &amp; Runtime Optimization: Ensured fast startup via Vite ES modules and clean TypeScript compilation.</w:t>
      </w:r>
    </w:p>
    <w:p>
      <w:pPr>
        <w:keepNext/>
        <w:spacing w:before="320" w:after="120"/>
      </w:pPr>
      <w:r>
        <w:rPr>
          <w:rFonts w:ascii="Georgia" w:hAnsi="Georgia"/>
          <w:b/>
          <w:color w:val="0F6FBF"/>
          <w:sz w:val="28"/>
        </w:rPr>
        <w:t>6. Key Learnings</w:t>
      </w:r>
    </w:p>
    <w:p>
      <w:r>
        <w:t>6.1 Technical Skills Acquired: Full-stack web architecture with React 18 and TypeScript 5.7; client-side image processing with HTML5 Canvas; AI prompt engineering with strict JSON contracts; medical informatics and ICD-10-CM coding.</w:t>
        <w:br/>
        <w:br/>
        <w:t>6.2 Data and Clinical System Thinking: Understood that clinical utility depends on data standardization, reproducible morphological extraction, and objective risk presentation.</w:t>
        <w:br/>
        <w:br/>
        <w:t>6.3 Software Engineering Skills: Modular component design, utility CSS styling, defensive exception handling, and formal technical documentation.</w:t>
        <w:br/>
        <w:br/>
        <w:t>6.4 Problem-Solving Skills: Traced data flow systematically from user photo selection through canvas compression, AI reasoning, and state-driven UI updates.</w:t>
        <w:br/>
        <w:br/>
        <w:t>6.5 Communication and Interview Skills: Learned to articulate technical architecture clearly and concisely for academic defenses and corporate evaluations.</w:t>
        <w:br/>
        <w:br/>
        <w:t>6.6 Questions I Can Answer from This Project: Optical downsampling formulas, multimodal API orchestration, ICD-10-CM clinical crosswalks, single-color medical UX rationale, and non-SaMD regulatory compliance boundaries.</w:t>
      </w:r>
    </w:p>
    <w:p>
      <w:pPr>
        <w:keepNext/>
        <w:spacing w:before="320" w:after="120"/>
      </w:pPr>
      <w:r>
        <w:rPr>
          <w:rFonts w:ascii="Georgia" w:hAnsi="Georgia"/>
          <w:b/>
          <w:color w:val="0F6FBF"/>
          <w:sz w:val="28"/>
        </w:rPr>
        <w:t>7. Conclusion</w:t>
      </w:r>
    </w:p>
    <w:p>
      <w:r>
        <w:t>The DermoScan project provides a practical, full-stack demonstration of applying AI and modern web engineering to cutaneous triage. By combining client-side canvas image downsampling, multimodal vision intelligence, deterministic ICD-10-CM harmonization, and an ergonomic single-color clinical design system, DermoScan delivers fast, objective morphological evaluations for clinical personnel.</w:t>
      </w:r>
    </w:p>
    <w:p>
      <w:r>
        <w:t>Future enhancements include: fine-tuned on-device convolutional vision models (MobileNetV4), automated Fitzpatrick skin phototype assessment using the Individual Typology Angle (ITA°), and HL7/FHIR JSON data bundling for seamless Electronic Health Record (EHR) integration.</w:t>
      </w:r>
    </w:p>
    <w:p>
      <w:pPr>
        <w:keepNext/>
        <w:spacing w:before="320" w:after="120"/>
      </w:pPr>
      <w:r>
        <w:rPr>
          <w:rFonts w:ascii="Georgia" w:hAnsi="Georgia"/>
          <w:b/>
          <w:color w:val="0F6FBF"/>
          <w:sz w:val="28"/>
        </w:rPr>
        <w:t>8. References</w:t>
      </w:r>
    </w:p>
    <w:tbl>
      <w:tblPr>
        <w:tblW w:type="auto" w:w="0"/>
        <w:jc w:val="center"/>
        <w:tblLayout w:type="fixed"/>
        <w:tblLook w:firstColumn="1" w:firstRow="1" w:lastColumn="0" w:lastRow="0" w:noHBand="0" w:noVBand="1" w:val="04A0"/>
      </w:tblPr>
      <w:tblGrid>
        <w:gridCol w:w="3168"/>
        <w:gridCol w:w="6192"/>
      </w:tblGrid>
      <w:tr>
        <w:tc>
          <w:tcPr>
            <w:tcW w:type="dxa" w:w="4680"/>
            <w:shd w:fill="F1F5F9"/>
            <w:tcMar>
              <w:top w:w="80" w:type="dxa"/>
              <w:bottom w:w="80" w:type="dxa"/>
              <w:left w:w="120" w:type="dxa"/>
              <w:right w:w="120" w:type="dxa"/>
            </w:tcMar>
          </w:tcPr>
          <w:p>
            <w:r>
              <w:rPr>
                <w:b/>
              </w:rPr>
              <w:t>Reference / Source</w:t>
            </w:r>
          </w:p>
        </w:tc>
        <w:tc>
          <w:tcPr>
            <w:tcW w:type="dxa" w:w="4680"/>
            <w:shd w:fill="F1F5F9"/>
            <w:tcMar>
              <w:top w:w="80" w:type="dxa"/>
              <w:bottom w:w="80" w:type="dxa"/>
              <w:left w:w="120" w:type="dxa"/>
              <w:right w:w="120" w:type="dxa"/>
            </w:tcMar>
          </w:tcPr>
          <w:p>
            <w:r>
              <w:rPr>
                <w:b/>
              </w:rPr>
              <w:t>Purpose &amp; Scope</w:t>
            </w:r>
          </w:p>
        </w:tc>
      </w:tr>
      <w:tr>
        <w:tc>
          <w:tcPr>
            <w:tcW w:type="dxa" w:w="4680"/>
            <w:tcMar>
              <w:top w:w="60" w:type="dxa"/>
              <w:bottom w:w="60" w:type="dxa"/>
              <w:left w:w="120" w:type="dxa"/>
              <w:right w:w="120" w:type="dxa"/>
            </w:tcMar>
          </w:tcPr>
          <w:p>
            <w:r>
              <w:rPr>
                <w:b/>
              </w:rPr>
              <w:t>React Documentation</w:t>
            </w:r>
          </w:p>
        </w:tc>
        <w:tc>
          <w:tcPr>
            <w:tcW w:type="dxa" w:w="4680"/>
            <w:tcMar>
              <w:top w:w="60" w:type="dxa"/>
              <w:bottom w:w="60" w:type="dxa"/>
              <w:left w:w="120" w:type="dxa"/>
              <w:right w:w="120" w:type="dxa"/>
            </w:tcMar>
          </w:tcPr>
          <w:p>
            <w:r>
              <w:t>Component-based frontend architecture and Concurrent React concepts. (Official Meta Docs)</w:t>
            </w:r>
          </w:p>
        </w:tc>
      </w:tr>
      <w:tr>
        <w:tc>
          <w:tcPr>
            <w:tcW w:type="dxa" w:w="4680"/>
            <w:shd w:fill="F8FAFC"/>
            <w:tcMar>
              <w:top w:w="60" w:type="dxa"/>
              <w:bottom w:w="60" w:type="dxa"/>
              <w:left w:w="120" w:type="dxa"/>
              <w:right w:w="120" w:type="dxa"/>
            </w:tcMar>
          </w:tcPr>
          <w:p>
            <w:r>
              <w:rPr>
                <w:b/>
              </w:rPr>
              <w:t>TypeScript Documentation</w:t>
            </w:r>
          </w:p>
        </w:tc>
        <w:tc>
          <w:tcPr>
            <w:tcW w:type="dxa" w:w="4680"/>
            <w:shd w:fill="F8FAFC"/>
            <w:tcMar>
              <w:top w:w="60" w:type="dxa"/>
              <w:bottom w:w="60" w:type="dxa"/>
              <w:left w:w="120" w:type="dxa"/>
              <w:right w:w="120" w:type="dxa"/>
            </w:tcMar>
          </w:tcPr>
          <w:p>
            <w:r>
              <w:t>Static typing, compiler checks, and interface definitions. (Official Microsoft Docs)</w:t>
            </w:r>
          </w:p>
        </w:tc>
      </w:tr>
      <w:tr>
        <w:tc>
          <w:tcPr>
            <w:tcW w:type="dxa" w:w="4680"/>
            <w:tcMar>
              <w:top w:w="60" w:type="dxa"/>
              <w:bottom w:w="60" w:type="dxa"/>
              <w:left w:w="120" w:type="dxa"/>
              <w:right w:w="120" w:type="dxa"/>
            </w:tcMar>
          </w:tcPr>
          <w:p>
            <w:r>
              <w:rPr>
                <w:b/>
              </w:rPr>
              <w:t>Vite Documentation</w:t>
            </w:r>
          </w:p>
        </w:tc>
        <w:tc>
          <w:tcPr>
            <w:tcW w:type="dxa" w:w="4680"/>
            <w:tcMar>
              <w:top w:w="60" w:type="dxa"/>
              <w:bottom w:w="60" w:type="dxa"/>
              <w:left w:w="120" w:type="dxa"/>
              <w:right w:w="120" w:type="dxa"/>
            </w:tcMar>
          </w:tcPr>
          <w:p>
            <w:r>
              <w:t>Next-generation frontend tooling and ES module bundling. (Official Vite Docs)</w:t>
            </w:r>
          </w:p>
        </w:tc>
      </w:tr>
      <w:tr>
        <w:tc>
          <w:tcPr>
            <w:tcW w:type="dxa" w:w="4680"/>
            <w:shd w:fill="F8FAFC"/>
            <w:tcMar>
              <w:top w:w="60" w:type="dxa"/>
              <w:bottom w:w="60" w:type="dxa"/>
              <w:left w:w="120" w:type="dxa"/>
              <w:right w:w="120" w:type="dxa"/>
            </w:tcMar>
          </w:tcPr>
          <w:p>
            <w:r>
              <w:rPr>
                <w:b/>
              </w:rPr>
              <w:t>Tailwind CSS Documentation</w:t>
            </w:r>
          </w:p>
        </w:tc>
        <w:tc>
          <w:tcPr>
            <w:tcW w:type="dxa" w:w="4680"/>
            <w:shd w:fill="F8FAFC"/>
            <w:tcMar>
              <w:top w:w="60" w:type="dxa"/>
              <w:bottom w:w="60" w:type="dxa"/>
              <w:left w:w="120" w:type="dxa"/>
              <w:right w:w="120" w:type="dxa"/>
            </w:tcMar>
          </w:tcPr>
          <w:p>
            <w:r>
              <w:t>Utility-first styling and clinical design token integration. (Official Tailwind Labs Docs)</w:t>
            </w:r>
          </w:p>
        </w:tc>
      </w:tr>
      <w:tr>
        <w:tc>
          <w:tcPr>
            <w:tcW w:type="dxa" w:w="4680"/>
            <w:tcMar>
              <w:top w:w="60" w:type="dxa"/>
              <w:bottom w:w="60" w:type="dxa"/>
              <w:left w:w="120" w:type="dxa"/>
              <w:right w:w="120" w:type="dxa"/>
            </w:tcMar>
          </w:tcPr>
          <w:p>
            <w:r>
              <w:rPr>
                <w:b/>
              </w:rPr>
              <w:t>ICD-10-CM Official Guidelines</w:t>
            </w:r>
          </w:p>
        </w:tc>
        <w:tc>
          <w:tcPr>
            <w:tcW w:type="dxa" w:w="4680"/>
            <w:tcMar>
              <w:top w:w="60" w:type="dxa"/>
              <w:bottom w:w="60" w:type="dxa"/>
              <w:left w:w="120" w:type="dxa"/>
              <w:right w:w="120" w:type="dxa"/>
            </w:tcMar>
          </w:tcPr>
          <w:p>
            <w:r>
              <w:t>World Health Organization &amp; CDC International Classification of Diseases, 2026 Edition.</w:t>
            </w:r>
          </w:p>
        </w:tc>
      </w:tr>
      <w:tr>
        <w:tc>
          <w:tcPr>
            <w:tcW w:type="dxa" w:w="4680"/>
            <w:shd w:fill="F8FAFC"/>
            <w:tcMar>
              <w:top w:w="60" w:type="dxa"/>
              <w:bottom w:w="60" w:type="dxa"/>
              <w:left w:w="120" w:type="dxa"/>
              <w:right w:w="120" w:type="dxa"/>
            </w:tcMar>
          </w:tcPr>
          <w:p>
            <w:r>
              <w:rPr>
                <w:b/>
              </w:rPr>
              <w:t>HTML5 Canvas Specification</w:t>
            </w:r>
          </w:p>
        </w:tc>
        <w:tc>
          <w:tcPr>
            <w:tcW w:type="dxa" w:w="4680"/>
            <w:shd w:fill="F8FAFC"/>
            <w:tcMar>
              <w:top w:w="60" w:type="dxa"/>
              <w:bottom w:w="60" w:type="dxa"/>
              <w:left w:w="120" w:type="dxa"/>
              <w:right w:w="120" w:type="dxa"/>
            </w:tcMar>
          </w:tcPr>
          <w:p>
            <w:r>
              <w:t>W3C 2D Context standards for image drawing, downsampling, and JPEG export.</w:t>
            </w:r>
          </w:p>
        </w:tc>
      </w:tr>
      <w:tr>
        <w:tc>
          <w:tcPr>
            <w:tcW w:type="dxa" w:w="4680"/>
            <w:tcMar>
              <w:top w:w="60" w:type="dxa"/>
              <w:bottom w:w="60" w:type="dxa"/>
              <w:left w:w="120" w:type="dxa"/>
              <w:right w:w="120" w:type="dxa"/>
            </w:tcMar>
          </w:tcPr>
          <w:p>
            <w:r>
              <w:rPr>
                <w:b/>
              </w:rPr>
              <w:t>FDA SaMD Regulatory Guidance</w:t>
            </w:r>
          </w:p>
        </w:tc>
        <w:tc>
          <w:tcPr>
            <w:tcW w:type="dxa" w:w="4680"/>
            <w:tcMar>
              <w:top w:w="60" w:type="dxa"/>
              <w:bottom w:w="60" w:type="dxa"/>
              <w:left w:w="120" w:type="dxa"/>
              <w:right w:w="120" w:type="dxa"/>
            </w:tcMar>
          </w:tcPr>
          <w:p>
            <w:r>
              <w:t>Policy for Device Software Functions and Mobile Medical Applications, US FDA.</w:t>
            </w:r>
          </w:p>
        </w:tc>
      </w:tr>
      <w:tr>
        <w:tc>
          <w:tcPr>
            <w:tcW w:type="dxa" w:w="4680"/>
            <w:shd w:fill="F8FAFC"/>
            <w:tcMar>
              <w:top w:w="60" w:type="dxa"/>
              <w:bottom w:w="60" w:type="dxa"/>
              <w:left w:w="120" w:type="dxa"/>
              <w:right w:w="120" w:type="dxa"/>
            </w:tcMar>
          </w:tcPr>
          <w:p>
            <w:r>
              <w:rPr>
                <w:b/>
              </w:rPr>
              <w:t>Bolognia Dermatology Textbook</w:t>
            </w:r>
          </w:p>
        </w:tc>
        <w:tc>
          <w:tcPr>
            <w:tcW w:type="dxa" w:w="4680"/>
            <w:shd w:fill="F8FAFC"/>
            <w:tcMar>
              <w:top w:w="60" w:type="dxa"/>
              <w:bottom w:w="60" w:type="dxa"/>
              <w:left w:w="120" w:type="dxa"/>
              <w:right w:w="120" w:type="dxa"/>
            </w:tcMar>
          </w:tcPr>
          <w:p>
            <w:r>
              <w:t>Clinical reference for primary cutaneous lesions, morphology, and Auspitz / tapioca-pudding signs.</w:t>
            </w:r>
          </w:p>
        </w:tc>
      </w:tr>
    </w:tbl>
    <w:p>
      <w:pPr>
        <w:spacing w:before="200"/>
      </w:pPr>
      <w:r>
        <w:rPr>
          <w:i/>
        </w:rPr>
        <w:t>Project Documentation Note: Public repository links and external deployment addresses have been omitted from this report per submission requirements and can be referenced directly during project evaluation.</w:t>
      </w:r>
    </w:p>
    <w:p>
      <w:r>
        <w:br w:type="page"/>
      </w:r>
    </w:p>
    <w:p>
      <w:pPr>
        <w:keepNext/>
        <w:spacing w:before="320" w:after="120"/>
      </w:pPr>
      <w:r>
        <w:rPr>
          <w:rFonts w:ascii="Georgia" w:hAnsi="Georgia"/>
          <w:b/>
          <w:color w:val="0F6FBF"/>
          <w:sz w:val="28"/>
        </w:rPr>
        <w:t>9. Appendices</w:t>
      </w:r>
    </w:p>
    <w:p>
      <w:pPr>
        <w:keepNext/>
        <w:spacing w:before="220" w:after="60"/>
      </w:pPr>
      <w:r>
        <w:rPr>
          <w:rFonts w:ascii="Calibri" w:hAnsi="Calibri"/>
          <w:b/>
          <w:color w:val="0F172A"/>
          <w:sz w:val="24"/>
        </w:rPr>
        <w:t>Appendix A: Project Architecture &amp; Deployment Evidence</w:t>
      </w:r>
    </w:p>
    <w:tbl>
      <w:tblPr>
        <w:tblW w:type="auto" w:w="0"/>
        <w:jc w:val="center"/>
        <w:tblLayout w:type="fixed"/>
        <w:tblLook w:firstColumn="1" w:firstRow="1" w:lastColumn="0" w:lastRow="0" w:noHBand="0" w:noVBand="1" w:val="04A0"/>
      </w:tblPr>
      <w:tblGrid>
        <w:gridCol w:w="3168"/>
        <w:gridCol w:w="6192"/>
      </w:tblGrid>
      <w:tr>
        <w:tc>
          <w:tcPr>
            <w:tcW w:type="dxa" w:w="4680"/>
            <w:shd w:fill="F1F5F9"/>
            <w:tcMar>
              <w:top w:w="80" w:type="dxa"/>
              <w:bottom w:w="80" w:type="dxa"/>
              <w:left w:w="120" w:type="dxa"/>
              <w:right w:w="120" w:type="dxa"/>
            </w:tcMar>
          </w:tcPr>
          <w:p>
            <w:r>
              <w:rPr>
                <w:b/>
              </w:rPr>
              <w:t>Item</w:t>
            </w:r>
          </w:p>
        </w:tc>
        <w:tc>
          <w:tcPr>
            <w:tcW w:type="dxa" w:w="4680"/>
            <w:shd w:fill="F1F5F9"/>
            <w:tcMar>
              <w:top w:w="80" w:type="dxa"/>
              <w:bottom w:w="80" w:type="dxa"/>
              <w:left w:w="120" w:type="dxa"/>
              <w:right w:w="120" w:type="dxa"/>
            </w:tcMar>
          </w:tcPr>
          <w:p>
            <w:r>
              <w:rPr>
                <w:b/>
              </w:rPr>
              <w:t>Evidence / Specification</w:t>
            </w:r>
          </w:p>
        </w:tc>
      </w:tr>
      <w:tr>
        <w:tc>
          <w:tcPr>
            <w:tcW w:type="dxa" w:w="4680"/>
            <w:tcMar>
              <w:top w:w="60" w:type="dxa"/>
              <w:bottom w:w="60" w:type="dxa"/>
              <w:left w:w="120" w:type="dxa"/>
              <w:right w:w="120" w:type="dxa"/>
            </w:tcMar>
          </w:tcPr>
          <w:p>
            <w:r>
              <w:rPr>
                <w:b/>
              </w:rPr>
              <w:t>Project Name</w:t>
            </w:r>
          </w:p>
        </w:tc>
        <w:tc>
          <w:tcPr>
            <w:tcW w:type="dxa" w:w="4680"/>
            <w:tcMar>
              <w:top w:w="60" w:type="dxa"/>
              <w:bottom w:w="60" w:type="dxa"/>
              <w:left w:w="120" w:type="dxa"/>
              <w:right w:w="120" w:type="dxa"/>
            </w:tcMar>
          </w:tcPr>
          <w:p>
            <w:r>
              <w:t>DERMO SCAN — Localized Skin Lesion &amp; Rash Classification System</w:t>
            </w:r>
          </w:p>
        </w:tc>
      </w:tr>
      <w:tr>
        <w:tc>
          <w:tcPr>
            <w:tcW w:type="dxa" w:w="4680"/>
            <w:shd w:fill="F8FAFC"/>
            <w:tcMar>
              <w:top w:w="60" w:type="dxa"/>
              <w:bottom w:w="60" w:type="dxa"/>
              <w:left w:w="120" w:type="dxa"/>
              <w:right w:w="120" w:type="dxa"/>
            </w:tcMar>
          </w:tcPr>
          <w:p>
            <w:r>
              <w:rPr>
                <w:b/>
              </w:rPr>
              <w:t>Project Organization</w:t>
            </w:r>
          </w:p>
        </w:tc>
        <w:tc>
          <w:tcPr>
            <w:tcW w:type="dxa" w:w="4680"/>
            <w:shd w:fill="F8FAFC"/>
            <w:tcMar>
              <w:top w:w="60" w:type="dxa"/>
              <w:bottom w:w="60" w:type="dxa"/>
              <w:left w:w="120" w:type="dxa"/>
              <w:right w:w="120" w:type="dxa"/>
            </w:tcMar>
          </w:tcPr>
          <w:p>
            <w:r>
              <w:t>Datavalley India Pvt. Ltd. (Data Valley) / CT University</w:t>
            </w:r>
          </w:p>
        </w:tc>
      </w:tr>
      <w:tr>
        <w:tc>
          <w:tcPr>
            <w:tcW w:type="dxa" w:w="4680"/>
            <w:tcMar>
              <w:top w:w="60" w:type="dxa"/>
              <w:bottom w:w="60" w:type="dxa"/>
              <w:left w:w="120" w:type="dxa"/>
              <w:right w:w="120" w:type="dxa"/>
            </w:tcMar>
          </w:tcPr>
          <w:p>
            <w:r>
              <w:rPr>
                <w:b/>
              </w:rPr>
              <w:t>Candidate Name</w:t>
            </w:r>
          </w:p>
        </w:tc>
        <w:tc>
          <w:tcPr>
            <w:tcW w:type="dxa" w:w="4680"/>
            <w:tcMar>
              <w:top w:w="60" w:type="dxa"/>
              <w:bottom w:w="60" w:type="dxa"/>
              <w:left w:w="120" w:type="dxa"/>
              <w:right w:w="120" w:type="dxa"/>
            </w:tcMar>
          </w:tcPr>
          <w:p>
            <w:r>
              <w:t>Bhumireddy.Vijayesh Vardhan Reddy (Roll No: 72312924)</w:t>
            </w:r>
          </w:p>
        </w:tc>
      </w:tr>
      <w:tr>
        <w:tc>
          <w:tcPr>
            <w:tcW w:type="dxa" w:w="4680"/>
            <w:shd w:fill="F8FAFC"/>
            <w:tcMar>
              <w:top w:w="60" w:type="dxa"/>
              <w:bottom w:w="60" w:type="dxa"/>
              <w:left w:w="120" w:type="dxa"/>
              <w:right w:w="120" w:type="dxa"/>
            </w:tcMar>
          </w:tcPr>
          <w:p>
            <w:r>
              <w:rPr>
                <w:b/>
              </w:rPr>
              <w:t>Industry Mentor</w:t>
            </w:r>
          </w:p>
        </w:tc>
        <w:tc>
          <w:tcPr>
            <w:tcW w:type="dxa" w:w="4680"/>
            <w:shd w:fill="F8FAFC"/>
            <w:tcMar>
              <w:top w:w="60" w:type="dxa"/>
              <w:bottom w:w="60" w:type="dxa"/>
              <w:left w:w="120" w:type="dxa"/>
              <w:right w:w="120" w:type="dxa"/>
            </w:tcMar>
          </w:tcPr>
          <w:p>
            <w:r>
              <w:t>Shaik. Arshad (Project Coordinator, Data Valley Pvt. Ltd.)</w:t>
            </w:r>
          </w:p>
        </w:tc>
      </w:tr>
      <w:tr>
        <w:tc>
          <w:tcPr>
            <w:tcW w:type="dxa" w:w="4680"/>
            <w:tcMar>
              <w:top w:w="60" w:type="dxa"/>
              <w:bottom w:w="60" w:type="dxa"/>
              <w:left w:w="120" w:type="dxa"/>
              <w:right w:w="120" w:type="dxa"/>
            </w:tcMar>
          </w:tcPr>
          <w:p>
            <w:r>
              <w:rPr>
                <w:b/>
              </w:rPr>
              <w:t>Frontend Technology</w:t>
            </w:r>
          </w:p>
        </w:tc>
        <w:tc>
          <w:tcPr>
            <w:tcW w:type="dxa" w:w="4680"/>
            <w:tcMar>
              <w:top w:w="60" w:type="dxa"/>
              <w:bottom w:w="60" w:type="dxa"/>
              <w:left w:w="120" w:type="dxa"/>
              <w:right w:w="120" w:type="dxa"/>
            </w:tcMar>
          </w:tcPr>
          <w:p>
            <w:r>
              <w:t>React 18 + TypeScript 5.7 + Vite 6 + Tailwind CSS 3.4</w:t>
            </w:r>
          </w:p>
        </w:tc>
      </w:tr>
      <w:tr>
        <w:tc>
          <w:tcPr>
            <w:tcW w:type="dxa" w:w="4680"/>
            <w:shd w:fill="F8FAFC"/>
            <w:tcMar>
              <w:top w:w="60" w:type="dxa"/>
              <w:bottom w:w="60" w:type="dxa"/>
              <w:left w:w="120" w:type="dxa"/>
              <w:right w:w="120" w:type="dxa"/>
            </w:tcMar>
          </w:tcPr>
          <w:p>
            <w:r>
              <w:rPr>
                <w:b/>
              </w:rPr>
              <w:t>Optical Engine</w:t>
            </w:r>
          </w:p>
        </w:tc>
        <w:tc>
          <w:tcPr>
            <w:tcW w:type="dxa" w:w="4680"/>
            <w:shd w:fill="F8FAFC"/>
            <w:tcMar>
              <w:top w:w="60" w:type="dxa"/>
              <w:bottom w:w="60" w:type="dxa"/>
              <w:left w:w="120" w:type="dxa"/>
              <w:right w:w="120" w:type="dxa"/>
            </w:tcMar>
          </w:tcPr>
          <w:p>
            <w:r>
              <w:t>Client-Side HTML5 2D Canvas (1024px inference / 200px thumbnail)</w:t>
            </w:r>
          </w:p>
        </w:tc>
      </w:tr>
      <w:tr>
        <w:tc>
          <w:tcPr>
            <w:tcW w:type="dxa" w:w="4680"/>
            <w:tcMar>
              <w:top w:w="60" w:type="dxa"/>
              <w:bottom w:w="60" w:type="dxa"/>
              <w:left w:w="120" w:type="dxa"/>
              <w:right w:w="120" w:type="dxa"/>
            </w:tcMar>
          </w:tcPr>
          <w:p>
            <w:r>
              <w:rPr>
                <w:b/>
              </w:rPr>
              <w:t>AI Orchestration</w:t>
            </w:r>
          </w:p>
        </w:tc>
        <w:tc>
          <w:tcPr>
            <w:tcW w:type="dxa" w:w="4680"/>
            <w:tcMar>
              <w:top w:w="60" w:type="dxa"/>
              <w:bottom w:w="60" w:type="dxa"/>
              <w:left w:w="120" w:type="dxa"/>
              <w:right w:w="120" w:type="dxa"/>
            </w:tcMar>
          </w:tcPr>
          <w:p>
            <w:r>
              <w:t>Multimodal Vision AI + Deterministic ICD-10-CM Fallback</w:t>
            </w:r>
          </w:p>
        </w:tc>
      </w:tr>
      <w:tr>
        <w:tc>
          <w:tcPr>
            <w:tcW w:type="dxa" w:w="4680"/>
            <w:shd w:fill="F8FAFC"/>
            <w:tcMar>
              <w:top w:w="60" w:type="dxa"/>
              <w:bottom w:w="60" w:type="dxa"/>
              <w:left w:w="120" w:type="dxa"/>
              <w:right w:w="120" w:type="dxa"/>
            </w:tcMar>
          </w:tcPr>
          <w:p>
            <w:r>
              <w:rPr>
                <w:b/>
              </w:rPr>
              <w:t>Clinical Standard</w:t>
            </w:r>
          </w:p>
        </w:tc>
        <w:tc>
          <w:tcPr>
            <w:tcW w:type="dxa" w:w="4680"/>
            <w:shd w:fill="F8FAFC"/>
            <w:tcMar>
              <w:top w:w="60" w:type="dxa"/>
              <w:bottom w:w="60" w:type="dxa"/>
              <w:left w:w="120" w:type="dxa"/>
              <w:right w:w="120" w:type="dxa"/>
            </w:tcMar>
          </w:tcPr>
          <w:p>
            <w:r>
              <w:t>ICD-10-CM Harmonization (L30.1, L40.0, L23.9, B35.4, L71.0)</w:t>
            </w:r>
          </w:p>
        </w:tc>
      </w:tr>
      <w:tr>
        <w:tc>
          <w:tcPr>
            <w:tcW w:type="dxa" w:w="4680"/>
            <w:tcMar>
              <w:top w:w="60" w:type="dxa"/>
              <w:bottom w:w="60" w:type="dxa"/>
              <w:left w:w="120" w:type="dxa"/>
              <w:right w:w="120" w:type="dxa"/>
            </w:tcMar>
          </w:tcPr>
          <w:p>
            <w:r>
              <w:rPr>
                <w:b/>
              </w:rPr>
              <w:t>Design System</w:t>
            </w:r>
          </w:p>
        </w:tc>
        <w:tc>
          <w:tcPr>
            <w:tcW w:type="dxa" w:w="4680"/>
            <w:tcMar>
              <w:top w:w="60" w:type="dxa"/>
              <w:bottom w:w="60" w:type="dxa"/>
              <w:left w:w="120" w:type="dxa"/>
              <w:right w:w="120" w:type="dxa"/>
            </w:tcMar>
          </w:tcPr>
          <w:p>
            <w:r>
              <w:t>Single-Color Clinical Blue (#0F6FBF), Plus Jakarta Sans &amp; Inter</w:t>
            </w:r>
          </w:p>
        </w:tc>
      </w:tr>
    </w:tbl>
    <w:p>
      <w:pPr>
        <w:keepNext/>
        <w:spacing w:before="220" w:after="60"/>
      </w:pPr>
      <w:r>
        <w:rPr>
          <w:rFonts w:ascii="Calibri" w:hAnsi="Calibri"/>
          <w:b/>
          <w:color w:val="0F172A"/>
          <w:sz w:val="24"/>
        </w:rPr>
        <w:t>Appendix B: Workstation Dashboards &amp; Workflow</w:t>
      </w:r>
    </w:p>
    <w:p>
      <w:r>
        <w:t>The DermoScan workstation features two primary operational views:</w:t>
        <w:br/>
        <w:t>1. Clinical Workstation Dashboard: The swapped two-column diagnostic environment with the Diagnostic Dossier on the left (width 7/12) and the Specimen Intake Console on the right (width 5/12).</w:t>
        <w:br/>
        <w:t>2. Session Records Archive: The historical inspection panel displaying previous scans from the active session with one-click re-inspection.</w:t>
      </w:r>
    </w:p>
    <w:p>
      <w:pPr>
        <w:keepNext/>
        <w:spacing w:before="220" w:after="60"/>
      </w:pPr>
      <w:r>
        <w:rPr>
          <w:rFonts w:ascii="Calibri" w:hAnsi="Calibri"/>
          <w:b/>
          <w:color w:val="0F172A"/>
          <w:sz w:val="24"/>
        </w:rPr>
        <w:t>Appendix C: Specimen Intake Console &amp; Features</w:t>
      </w:r>
    </w:p>
    <w:p>
      <w:r>
        <w:t>• Specimen File Uploader: Supports drag-and-drop ingestion of JPG, PNG, and WEBP images with instant client-side preview.</w:t>
        <w:br/>
        <w:t>• Anatomical Zone Dropdown: 16 clinical body locations without distracting body silhouettes.</w:t>
        <w:br/>
        <w:t>• Chronicity Assessment: Radio selector covering &lt;1 Week, 1–4 Weeks, 1–3 Months, and 3+ Months.</w:t>
        <w:br/>
        <w:t>• Patient Sensations: Multi-select chips for Itchy, Painful, Burning, Tender, and Numb.</w:t>
        <w:br/>
        <w:t>• Context Notes: Freeform commentary for documenting exposures, border changes, or prior topicals.</w:t>
        <w:br/>
        <w:t>• Run Diagnostic Scan Button: Triggers canvas downsampling, inference orchestration, and dossier rendering.</w:t>
      </w:r>
    </w:p>
    <w:p>
      <w:pPr>
        <w:keepNext/>
        <w:spacing w:before="220" w:after="60"/>
      </w:pPr>
      <w:r>
        <w:rPr>
          <w:rFonts w:ascii="Calibri" w:hAnsi="Calibri"/>
          <w:b/>
          <w:color w:val="0F172A"/>
          <w:sz w:val="24"/>
        </w:rPr>
        <w:t>Appendix D: Diagnostic Dossier &amp; Morphology Classification</w:t>
      </w:r>
    </w:p>
    <w:p>
      <w:r>
        <w:t>• Primary Pattern Classification: 32px bold title with ICD-10 badge.</w:t>
        <w:br/>
        <w:t>• Single-Color Confidence Meter: Progress meter in #0F6FBF with numerical percentage in 24px JetBrains Mono.</w:t>
        <w:br/>
        <w:t>• Clinical Observation: Detailed dermatological description of visible cutaneous features.</w:t>
        <w:br/>
        <w:t>• 4-Quadrant Morphology Grid: Primary Lesion, Coloration, Border Definition, and Distribution Pattern.</w:t>
        <w:br/>
        <w:t>• Etiology &amp; Triggers: Bulleted common causes and identified environmental triggers.</w:t>
        <w:br/>
        <w:t>• Differential Diagnoses: Ranked alternatives with High, Moderate, and Low likelihood badges.</w:t>
        <w:br/>
        <w:t>• Clinical Guidance: Evidence-based self-care recommendations and explicit contraindications.</w:t>
      </w:r>
    </w:p>
    <w:p>
      <w:pPr>
        <w:keepNext/>
        <w:spacing w:before="220" w:after="60"/>
      </w:pPr>
      <w:r>
        <w:rPr>
          <w:rFonts w:ascii="Calibri" w:hAnsi="Calibri"/>
          <w:b/>
          <w:color w:val="0F172A"/>
          <w:sz w:val="24"/>
        </w:rPr>
        <w:t>Appendix E: ICD-10-CM Harmonization Crosswalk Matrix</w:t>
      </w:r>
    </w:p>
    <w:tbl>
      <w:tblPr>
        <w:tblW w:type="auto" w:w="0"/>
        <w:jc w:val="center"/>
        <w:tblLayout w:type="fixed"/>
        <w:tblLook w:firstColumn="1" w:firstRow="1" w:lastColumn="0" w:lastRow="0" w:noHBand="0" w:noVBand="1" w:val="04A0"/>
      </w:tblPr>
      <w:tblGrid>
        <w:gridCol w:w="1296"/>
        <w:gridCol w:w="2592"/>
        <w:gridCol w:w="1728"/>
        <w:gridCol w:w="1872"/>
        <w:gridCol w:w="1872"/>
      </w:tblGrid>
      <w:tr>
        <w:tc>
          <w:tcPr>
            <w:tcW w:type="dxa" w:w="1872"/>
            <w:shd w:fill="F1F5F9"/>
            <w:tcMar>
              <w:top w:w="80" w:type="dxa"/>
              <w:bottom w:w="80" w:type="dxa"/>
              <w:left w:w="100" w:type="dxa"/>
              <w:right w:w="100" w:type="dxa"/>
            </w:tcMar>
          </w:tcPr>
          <w:p>
            <w:r>
              <w:rPr>
                <w:b/>
                <w:color w:val="0F172A"/>
                <w:sz w:val="18"/>
              </w:rPr>
              <w:t>ICD-10</w:t>
            </w:r>
          </w:p>
        </w:tc>
        <w:tc>
          <w:tcPr>
            <w:tcW w:type="dxa" w:w="1872"/>
            <w:shd w:fill="F1F5F9"/>
            <w:tcMar>
              <w:top w:w="80" w:type="dxa"/>
              <w:bottom w:w="80" w:type="dxa"/>
              <w:left w:w="100" w:type="dxa"/>
              <w:right w:w="100" w:type="dxa"/>
            </w:tcMar>
          </w:tcPr>
          <w:p>
            <w:r>
              <w:rPr>
                <w:b/>
                <w:color w:val="0F172A"/>
                <w:sz w:val="18"/>
              </w:rPr>
              <w:t>Condition Name</w:t>
            </w:r>
          </w:p>
        </w:tc>
        <w:tc>
          <w:tcPr>
            <w:tcW w:type="dxa" w:w="1872"/>
            <w:shd w:fill="F1F5F9"/>
            <w:tcMar>
              <w:top w:w="80" w:type="dxa"/>
              <w:bottom w:w="80" w:type="dxa"/>
              <w:left w:w="100" w:type="dxa"/>
              <w:right w:w="100" w:type="dxa"/>
            </w:tcMar>
          </w:tcPr>
          <w:p>
            <w:r>
              <w:rPr>
                <w:b/>
                <w:color w:val="0F172A"/>
                <w:sz w:val="18"/>
              </w:rPr>
              <w:t>Primary Lesion</w:t>
            </w:r>
          </w:p>
        </w:tc>
        <w:tc>
          <w:tcPr>
            <w:tcW w:type="dxa" w:w="1872"/>
            <w:shd w:fill="F1F5F9"/>
            <w:tcMar>
              <w:top w:w="80" w:type="dxa"/>
              <w:bottom w:w="80" w:type="dxa"/>
              <w:left w:w="100" w:type="dxa"/>
              <w:right w:w="100" w:type="dxa"/>
            </w:tcMar>
          </w:tcPr>
          <w:p>
            <w:r>
              <w:rPr>
                <w:b/>
                <w:color w:val="0F172A"/>
                <w:sz w:val="18"/>
              </w:rPr>
              <w:t>Distribution</w:t>
            </w:r>
          </w:p>
        </w:tc>
        <w:tc>
          <w:tcPr>
            <w:tcW w:type="dxa" w:w="1872"/>
            <w:shd w:fill="F1F5F9"/>
            <w:tcMar>
              <w:top w:w="80" w:type="dxa"/>
              <w:bottom w:w="80" w:type="dxa"/>
              <w:left w:w="100" w:type="dxa"/>
              <w:right w:w="100" w:type="dxa"/>
            </w:tcMar>
          </w:tcPr>
          <w:p>
            <w:r>
              <w:rPr>
                <w:b/>
                <w:color w:val="0F172A"/>
                <w:sz w:val="18"/>
              </w:rPr>
              <w:t>Pathognomonic Attribute</w:t>
            </w:r>
          </w:p>
        </w:tc>
      </w:tr>
      <w:tr>
        <w:tc>
          <w:tcPr>
            <w:tcW w:type="dxa" w:w="1872"/>
            <w:tcMar>
              <w:top w:w="60" w:type="dxa"/>
              <w:bottom w:w="60" w:type="dxa"/>
              <w:left w:w="100" w:type="dxa"/>
              <w:right w:w="100" w:type="dxa"/>
            </w:tcMar>
          </w:tcPr>
          <w:p>
            <w:r>
              <w:rPr>
                <w:b/>
                <w:color w:val="0F6FBF"/>
                <w:sz w:val="17"/>
              </w:rPr>
              <w:t>L30.1</w:t>
            </w:r>
          </w:p>
        </w:tc>
        <w:tc>
          <w:tcPr>
            <w:tcW w:type="dxa" w:w="1872"/>
            <w:tcMar>
              <w:top w:w="60" w:type="dxa"/>
              <w:bottom w:w="60" w:type="dxa"/>
              <w:left w:w="100" w:type="dxa"/>
              <w:right w:w="100" w:type="dxa"/>
            </w:tcMar>
          </w:tcPr>
          <w:p>
            <w:r>
              <w:rPr>
                <w:sz w:val="17"/>
              </w:rPr>
              <w:t>Dyshidrotic Eczema</w:t>
            </w:r>
          </w:p>
        </w:tc>
        <w:tc>
          <w:tcPr>
            <w:tcW w:type="dxa" w:w="1872"/>
            <w:tcMar>
              <w:top w:w="60" w:type="dxa"/>
              <w:bottom w:w="60" w:type="dxa"/>
              <w:left w:w="100" w:type="dxa"/>
              <w:right w:w="100" w:type="dxa"/>
            </w:tcMar>
          </w:tcPr>
          <w:p>
            <w:r>
              <w:rPr>
                <w:sz w:val="17"/>
              </w:rPr>
              <w:t>Intraepidermal Vesicle</w:t>
            </w:r>
          </w:p>
        </w:tc>
        <w:tc>
          <w:tcPr>
            <w:tcW w:type="dxa" w:w="1872"/>
            <w:tcMar>
              <w:top w:w="60" w:type="dxa"/>
              <w:bottom w:w="60" w:type="dxa"/>
              <w:left w:w="100" w:type="dxa"/>
              <w:right w:w="100" w:type="dxa"/>
            </w:tcMar>
          </w:tcPr>
          <w:p>
            <w:r>
              <w:rPr>
                <w:sz w:val="17"/>
              </w:rPr>
              <w:t>Acral (Hands, Soles)</w:t>
            </w:r>
          </w:p>
        </w:tc>
        <w:tc>
          <w:tcPr>
            <w:tcW w:type="dxa" w:w="1872"/>
            <w:tcMar>
              <w:top w:w="60" w:type="dxa"/>
              <w:bottom w:w="60" w:type="dxa"/>
              <w:left w:w="100" w:type="dxa"/>
              <w:right w:w="100" w:type="dxa"/>
            </w:tcMar>
          </w:tcPr>
          <w:p>
            <w:r>
              <w:rPr>
                <w:sz w:val="17"/>
              </w:rPr>
              <w:t>Tapioca-pudding vesicles; pruritus</w:t>
            </w:r>
          </w:p>
        </w:tc>
      </w:tr>
      <w:tr>
        <w:tc>
          <w:tcPr>
            <w:tcW w:type="dxa" w:w="1872"/>
            <w:shd w:fill="F8FAFC"/>
            <w:tcMar>
              <w:top w:w="60" w:type="dxa"/>
              <w:bottom w:w="60" w:type="dxa"/>
              <w:left w:w="100" w:type="dxa"/>
              <w:right w:w="100" w:type="dxa"/>
            </w:tcMar>
          </w:tcPr>
          <w:p>
            <w:r>
              <w:rPr>
                <w:b/>
                <w:color w:val="0F6FBF"/>
                <w:sz w:val="17"/>
              </w:rPr>
              <w:t>L40.0</w:t>
            </w:r>
          </w:p>
        </w:tc>
        <w:tc>
          <w:tcPr>
            <w:tcW w:type="dxa" w:w="1872"/>
            <w:shd w:fill="F8FAFC"/>
            <w:tcMar>
              <w:top w:w="60" w:type="dxa"/>
              <w:bottom w:w="60" w:type="dxa"/>
              <w:left w:w="100" w:type="dxa"/>
              <w:right w:w="100" w:type="dxa"/>
            </w:tcMar>
          </w:tcPr>
          <w:p>
            <w:r>
              <w:rPr>
                <w:sz w:val="17"/>
              </w:rPr>
              <w:t>Plaque Psoriasis</w:t>
            </w:r>
          </w:p>
        </w:tc>
        <w:tc>
          <w:tcPr>
            <w:tcW w:type="dxa" w:w="1872"/>
            <w:shd w:fill="F8FAFC"/>
            <w:tcMar>
              <w:top w:w="60" w:type="dxa"/>
              <w:bottom w:w="60" w:type="dxa"/>
              <w:left w:w="100" w:type="dxa"/>
              <w:right w:w="100" w:type="dxa"/>
            </w:tcMar>
          </w:tcPr>
          <w:p>
            <w:r>
              <w:rPr>
                <w:sz w:val="17"/>
              </w:rPr>
              <w:t>Hyperkeratotic Plaque</w:t>
            </w:r>
          </w:p>
        </w:tc>
        <w:tc>
          <w:tcPr>
            <w:tcW w:type="dxa" w:w="1872"/>
            <w:shd w:fill="F8FAFC"/>
            <w:tcMar>
              <w:top w:w="60" w:type="dxa"/>
              <w:bottom w:w="60" w:type="dxa"/>
              <w:left w:w="100" w:type="dxa"/>
              <w:right w:w="100" w:type="dxa"/>
            </w:tcMar>
          </w:tcPr>
          <w:p>
            <w:r>
              <w:rPr>
                <w:sz w:val="17"/>
              </w:rPr>
              <w:t>Extensor (Elbows, Knees)</w:t>
            </w:r>
          </w:p>
        </w:tc>
        <w:tc>
          <w:tcPr>
            <w:tcW w:type="dxa" w:w="1872"/>
            <w:shd w:fill="F8FAFC"/>
            <w:tcMar>
              <w:top w:w="60" w:type="dxa"/>
              <w:bottom w:w="60" w:type="dxa"/>
              <w:left w:w="100" w:type="dxa"/>
              <w:right w:w="100" w:type="dxa"/>
            </w:tcMar>
          </w:tcPr>
          <w:p>
            <w:r>
              <w:rPr>
                <w:sz w:val="17"/>
              </w:rPr>
              <w:t>Salmon-pink base; silvery micaceous scale</w:t>
            </w:r>
          </w:p>
        </w:tc>
      </w:tr>
      <w:tr>
        <w:tc>
          <w:tcPr>
            <w:tcW w:type="dxa" w:w="1872"/>
            <w:tcMar>
              <w:top w:w="60" w:type="dxa"/>
              <w:bottom w:w="60" w:type="dxa"/>
              <w:left w:w="100" w:type="dxa"/>
              <w:right w:w="100" w:type="dxa"/>
            </w:tcMar>
          </w:tcPr>
          <w:p>
            <w:r>
              <w:rPr>
                <w:b/>
                <w:color w:val="0F6FBF"/>
                <w:sz w:val="17"/>
              </w:rPr>
              <w:t>L23.9</w:t>
            </w:r>
          </w:p>
        </w:tc>
        <w:tc>
          <w:tcPr>
            <w:tcW w:type="dxa" w:w="1872"/>
            <w:tcMar>
              <w:top w:w="60" w:type="dxa"/>
              <w:bottom w:w="60" w:type="dxa"/>
              <w:left w:w="100" w:type="dxa"/>
              <w:right w:w="100" w:type="dxa"/>
            </w:tcMar>
          </w:tcPr>
          <w:p>
            <w:r>
              <w:rPr>
                <w:sz w:val="17"/>
              </w:rPr>
              <w:t>Allergic Contact Derm</w:t>
            </w:r>
          </w:p>
        </w:tc>
        <w:tc>
          <w:tcPr>
            <w:tcW w:type="dxa" w:w="1872"/>
            <w:tcMar>
              <w:top w:w="60" w:type="dxa"/>
              <w:bottom w:w="60" w:type="dxa"/>
              <w:left w:w="100" w:type="dxa"/>
              <w:right w:w="100" w:type="dxa"/>
            </w:tcMar>
          </w:tcPr>
          <w:p>
            <w:r>
              <w:rPr>
                <w:sz w:val="17"/>
              </w:rPr>
              <w:t>Papule / Micro-vesicle</w:t>
            </w:r>
          </w:p>
        </w:tc>
        <w:tc>
          <w:tcPr>
            <w:tcW w:type="dxa" w:w="1872"/>
            <w:tcMar>
              <w:top w:w="60" w:type="dxa"/>
              <w:bottom w:w="60" w:type="dxa"/>
              <w:left w:w="100" w:type="dxa"/>
              <w:right w:w="100" w:type="dxa"/>
            </w:tcMar>
          </w:tcPr>
          <w:p>
            <w:r>
              <w:rPr>
                <w:sz w:val="17"/>
              </w:rPr>
              <w:t>Contact Site (Neck, Wrists)</w:t>
            </w:r>
          </w:p>
        </w:tc>
        <w:tc>
          <w:tcPr>
            <w:tcW w:type="dxa" w:w="1872"/>
            <w:tcMar>
              <w:top w:w="60" w:type="dxa"/>
              <w:bottom w:w="60" w:type="dxa"/>
              <w:left w:w="100" w:type="dxa"/>
              <w:right w:w="100" w:type="dxa"/>
            </w:tcMar>
          </w:tcPr>
          <w:p>
            <w:r>
              <w:rPr>
                <w:sz w:val="17"/>
              </w:rPr>
              <w:t>Geometric / linear allergen contact pattern</w:t>
            </w:r>
          </w:p>
        </w:tc>
      </w:tr>
      <w:tr>
        <w:tc>
          <w:tcPr>
            <w:tcW w:type="dxa" w:w="1872"/>
            <w:shd w:fill="F8FAFC"/>
            <w:tcMar>
              <w:top w:w="60" w:type="dxa"/>
              <w:bottom w:w="60" w:type="dxa"/>
              <w:left w:w="100" w:type="dxa"/>
              <w:right w:w="100" w:type="dxa"/>
            </w:tcMar>
          </w:tcPr>
          <w:p>
            <w:r>
              <w:rPr>
                <w:b/>
                <w:color w:val="0F6FBF"/>
                <w:sz w:val="17"/>
              </w:rPr>
              <w:t>B35.4</w:t>
            </w:r>
          </w:p>
        </w:tc>
        <w:tc>
          <w:tcPr>
            <w:tcW w:type="dxa" w:w="1872"/>
            <w:shd w:fill="F8FAFC"/>
            <w:tcMar>
              <w:top w:w="60" w:type="dxa"/>
              <w:bottom w:w="60" w:type="dxa"/>
              <w:left w:w="100" w:type="dxa"/>
              <w:right w:w="100" w:type="dxa"/>
            </w:tcMar>
          </w:tcPr>
          <w:p>
            <w:r>
              <w:rPr>
                <w:sz w:val="17"/>
              </w:rPr>
              <w:t>Tinea Corporis</w:t>
            </w:r>
          </w:p>
        </w:tc>
        <w:tc>
          <w:tcPr>
            <w:tcW w:type="dxa" w:w="1872"/>
            <w:shd w:fill="F8FAFC"/>
            <w:tcMar>
              <w:top w:w="60" w:type="dxa"/>
              <w:bottom w:w="60" w:type="dxa"/>
              <w:left w:w="100" w:type="dxa"/>
              <w:right w:w="100" w:type="dxa"/>
            </w:tcMar>
          </w:tcPr>
          <w:p>
            <w:r>
              <w:rPr>
                <w:sz w:val="17"/>
              </w:rPr>
              <w:t>Annular Scaly Plaque</w:t>
            </w:r>
          </w:p>
        </w:tc>
        <w:tc>
          <w:tcPr>
            <w:tcW w:type="dxa" w:w="1872"/>
            <w:shd w:fill="F8FAFC"/>
            <w:tcMar>
              <w:top w:w="60" w:type="dxa"/>
              <w:bottom w:w="60" w:type="dxa"/>
              <w:left w:w="100" w:type="dxa"/>
              <w:right w:w="100" w:type="dxa"/>
            </w:tcMar>
          </w:tcPr>
          <w:p>
            <w:r>
              <w:rPr>
                <w:sz w:val="17"/>
              </w:rPr>
              <w:t>Glabrous Body Skin</w:t>
            </w:r>
          </w:p>
        </w:tc>
        <w:tc>
          <w:tcPr>
            <w:tcW w:type="dxa" w:w="1872"/>
            <w:shd w:fill="F8FAFC"/>
            <w:tcMar>
              <w:top w:w="60" w:type="dxa"/>
              <w:bottom w:w="60" w:type="dxa"/>
              <w:left w:w="100" w:type="dxa"/>
              <w:right w:w="100" w:type="dxa"/>
            </w:tcMar>
          </w:tcPr>
          <w:p>
            <w:r>
              <w:rPr>
                <w:sz w:val="17"/>
              </w:rPr>
              <w:t>Centrifugal advancing edge; central clearing</w:t>
            </w:r>
          </w:p>
        </w:tc>
      </w:tr>
      <w:tr>
        <w:tc>
          <w:tcPr>
            <w:tcW w:type="dxa" w:w="1872"/>
            <w:tcMar>
              <w:top w:w="60" w:type="dxa"/>
              <w:bottom w:w="60" w:type="dxa"/>
              <w:left w:w="100" w:type="dxa"/>
              <w:right w:w="100" w:type="dxa"/>
            </w:tcMar>
          </w:tcPr>
          <w:p>
            <w:r>
              <w:rPr>
                <w:b/>
                <w:color w:val="0F6FBF"/>
                <w:sz w:val="17"/>
              </w:rPr>
              <w:t>L71.0</w:t>
            </w:r>
          </w:p>
        </w:tc>
        <w:tc>
          <w:tcPr>
            <w:tcW w:type="dxa" w:w="1872"/>
            <w:tcMar>
              <w:top w:w="60" w:type="dxa"/>
              <w:bottom w:w="60" w:type="dxa"/>
              <w:left w:w="100" w:type="dxa"/>
              <w:right w:w="100" w:type="dxa"/>
            </w:tcMar>
          </w:tcPr>
          <w:p>
            <w:r>
              <w:rPr>
                <w:sz w:val="17"/>
              </w:rPr>
              <w:t>Rosacea</w:t>
            </w:r>
          </w:p>
        </w:tc>
        <w:tc>
          <w:tcPr>
            <w:tcW w:type="dxa" w:w="1872"/>
            <w:tcMar>
              <w:top w:w="60" w:type="dxa"/>
              <w:bottom w:w="60" w:type="dxa"/>
              <w:left w:w="100" w:type="dxa"/>
              <w:right w:w="100" w:type="dxa"/>
            </w:tcMar>
          </w:tcPr>
          <w:p>
            <w:r>
              <w:rPr>
                <w:sz w:val="17"/>
              </w:rPr>
              <w:t>Macule / Telangiectasia</w:t>
            </w:r>
          </w:p>
        </w:tc>
        <w:tc>
          <w:tcPr>
            <w:tcW w:type="dxa" w:w="1872"/>
            <w:tcMar>
              <w:top w:w="60" w:type="dxa"/>
              <w:bottom w:w="60" w:type="dxa"/>
              <w:left w:w="100" w:type="dxa"/>
              <w:right w:w="100" w:type="dxa"/>
            </w:tcMar>
          </w:tcPr>
          <w:p>
            <w:r>
              <w:rPr>
                <w:sz w:val="17"/>
              </w:rPr>
              <w:t>Centrofacial (Cheeks, Nose)</w:t>
            </w:r>
          </w:p>
        </w:tc>
        <w:tc>
          <w:tcPr>
            <w:tcW w:type="dxa" w:w="1872"/>
            <w:tcMar>
              <w:top w:w="60" w:type="dxa"/>
              <w:bottom w:w="60" w:type="dxa"/>
              <w:left w:w="100" w:type="dxa"/>
              <w:right w:w="100" w:type="dxa"/>
            </w:tcMar>
          </w:tcPr>
          <w:p>
            <w:r>
              <w:rPr>
                <w:sz w:val="17"/>
              </w:rPr>
              <w:t>Fixed facial erythema; branching telangiectasias</w:t>
            </w:r>
          </w:p>
        </w:tc>
      </w:tr>
      <w:tr>
        <w:tc>
          <w:tcPr>
            <w:tcW w:type="dxa" w:w="1872"/>
            <w:shd w:fill="F8FAFC"/>
            <w:tcMar>
              <w:top w:w="60" w:type="dxa"/>
              <w:bottom w:w="60" w:type="dxa"/>
              <w:left w:w="100" w:type="dxa"/>
              <w:right w:w="100" w:type="dxa"/>
            </w:tcMar>
          </w:tcPr>
          <w:p>
            <w:r>
              <w:rPr>
                <w:b/>
                <w:color w:val="0F6FBF"/>
                <w:sz w:val="17"/>
              </w:rPr>
              <w:t>L03.9</w:t>
            </w:r>
          </w:p>
        </w:tc>
        <w:tc>
          <w:tcPr>
            <w:tcW w:type="dxa" w:w="1872"/>
            <w:shd w:fill="F8FAFC"/>
            <w:tcMar>
              <w:top w:w="60" w:type="dxa"/>
              <w:bottom w:w="60" w:type="dxa"/>
              <w:left w:w="100" w:type="dxa"/>
              <w:right w:w="100" w:type="dxa"/>
            </w:tcMar>
          </w:tcPr>
          <w:p>
            <w:r>
              <w:rPr>
                <w:sz w:val="17"/>
              </w:rPr>
              <w:t>Cellulitis</w:t>
            </w:r>
          </w:p>
        </w:tc>
        <w:tc>
          <w:tcPr>
            <w:tcW w:type="dxa" w:w="1872"/>
            <w:shd w:fill="F8FAFC"/>
            <w:tcMar>
              <w:top w:w="60" w:type="dxa"/>
              <w:bottom w:w="60" w:type="dxa"/>
              <w:left w:w="100" w:type="dxa"/>
              <w:right w:w="100" w:type="dxa"/>
            </w:tcMar>
          </w:tcPr>
          <w:p>
            <w:r>
              <w:rPr>
                <w:sz w:val="17"/>
              </w:rPr>
              <w:t>Spreading Erythema</w:t>
            </w:r>
          </w:p>
        </w:tc>
        <w:tc>
          <w:tcPr>
            <w:tcW w:type="dxa" w:w="1872"/>
            <w:shd w:fill="F8FAFC"/>
            <w:tcMar>
              <w:top w:w="60" w:type="dxa"/>
              <w:bottom w:w="60" w:type="dxa"/>
              <w:left w:w="100" w:type="dxa"/>
              <w:right w:w="100" w:type="dxa"/>
            </w:tcMar>
          </w:tcPr>
          <w:p>
            <w:r>
              <w:rPr>
                <w:sz w:val="17"/>
              </w:rPr>
              <w:t>Lower Limbs, Unilateral</w:t>
            </w:r>
          </w:p>
        </w:tc>
        <w:tc>
          <w:tcPr>
            <w:tcW w:type="dxa" w:w="1872"/>
            <w:shd w:fill="F8FAFC"/>
            <w:tcMar>
              <w:top w:w="60" w:type="dxa"/>
              <w:bottom w:w="60" w:type="dxa"/>
              <w:left w:w="100" w:type="dxa"/>
              <w:right w:w="100" w:type="dxa"/>
            </w:tcMar>
          </w:tcPr>
          <w:p>
            <w:r>
              <w:rPr>
                <w:sz w:val="17"/>
              </w:rPr>
              <w:t>Warmth, induration, systemic tenderness (Emergency)</w:t>
            </w:r>
          </w:p>
        </w:tc>
      </w:tr>
    </w:tbl>
    <w:p>
      <w:pPr>
        <w:keepNext/>
        <w:spacing w:before="220" w:after="60"/>
      </w:pPr>
      <w:r>
        <w:rPr>
          <w:rFonts w:ascii="Calibri" w:hAnsi="Calibri"/>
          <w:b/>
          <w:color w:val="0F172A"/>
          <w:sz w:val="24"/>
        </w:rPr>
        <w:t>Appendix F: Application Folder Structure</w:t>
      </w:r>
    </w:p>
    <w:p>
      <w:r>
        <w:t>DermoScan/</w:t>
        <w:br/>
        <w:t>├── typescript-app/</w:t>
        <w:br/>
        <w:t>│   ├── src/</w:t>
        <w:br/>
        <w:t>│   │   ├── components/</w:t>
        <w:br/>
        <w:t>│   │   │   ├── results/ResultsDashboard.tsx</w:t>
        <w:br/>
        <w:t>│   │   │   └── scan/Step1Upload.tsx, Step2Context.tsx</w:t>
        <w:br/>
        <w:t>│   │   ├── lib/imageUtils.ts, session.ts</w:t>
        <w:br/>
        <w:t>│   │   ├── services/claudeApi.ts</w:t>
        <w:br/>
        <w:t>│   │   ├── types/dermascan.ts</w:t>
        <w:br/>
        <w:t>│   │   └── App.tsx, main.tsx</w:t>
        <w:br/>
        <w:t>│   ├── package.json, vite.config.ts, tailwind.config.js</w:t>
        <w:br/>
        <w:t>│   └── index.html</w:t>
        <w:br/>
        <w:t>├── run_typescript.bat</w:t>
        <w:br/>
        <w:t>├── .gitignore</w:t>
        <w:br/>
        <w:t>└── README.md</w:t>
      </w:r>
    </w:p>
    <w:p>
      <w:pPr>
        <w:keepNext/>
        <w:spacing w:before="220" w:after="60"/>
      </w:pPr>
      <w:r>
        <w:rPr>
          <w:rFonts w:ascii="Calibri" w:hAnsi="Calibri"/>
          <w:b/>
          <w:color w:val="0F172A"/>
          <w:sz w:val="24"/>
        </w:rPr>
        <w:t>Appendix G: Setup and Execution Summary</w:t>
      </w:r>
    </w:p>
    <w:p>
      <w:r>
        <w:t>1. Prerequisites: Node.js v18+ and npm v9+ installed on the host workstation.</w:t>
        <w:br/>
        <w:t>2. Navigate to project root: cd 'd:\projects\New folder\typescript-app'</w:t>
        <w:br/>
        <w:t>3. Install dependencies: npm install</w:t>
        <w:br/>
        <w:t>4. Start local development server: npm run dev (or double-click run_typescript.bat)</w:t>
        <w:br/>
        <w:t>5. Access clinical workstation locally: open browser to [Local Development URL - To be added by student]</w:t>
        <w:br/>
        <w:t>6. Build production artifact: npm run build (verifies tsc compilation and generates dist/)</w:t>
      </w:r>
    </w:p>
    <w:p>
      <w:pPr>
        <w:keepNext/>
        <w:spacing w:before="220" w:after="60"/>
      </w:pPr>
      <w:r>
        <w:rPr>
          <w:rFonts w:ascii="Calibri" w:hAnsi="Calibri"/>
          <w:b/>
          <w:color w:val="0F172A"/>
          <w:sz w:val="24"/>
        </w:rPr>
        <w:t>Appendix H: Verification and Testing Evidence</w:t>
      </w:r>
    </w:p>
    <w:p>
      <w:r>
        <w:t>• TypeScript Type Safety: Passed tsc --noEmit with 0 compilation errors across all interfaces.</w:t>
        <w:br/>
        <w:t>• Optical Preprocessing Verification: Tested with 18MB smartphone photos; verified downsampling to 1024px at 0.88 quality.</w:t>
        <w:br/>
        <w:t>• Heuristic Rule Engine Verification: Tested all 6 core conditions; verified correct ICD-10 code assignment and morphology.</w:t>
        <w:br/>
        <w:t>• Non-Skin Rejection Test: Verified that non-cutaneous imagery triggers is_skin_image = false and presents optical guidance.</w:t>
      </w:r>
    </w:p>
    <w:p>
      <w:pPr>
        <w:keepNext/>
        <w:spacing w:before="220" w:after="60"/>
      </w:pPr>
      <w:r>
        <w:rPr>
          <w:rFonts w:ascii="Calibri" w:hAnsi="Calibri"/>
          <w:b/>
          <w:color w:val="0F172A"/>
          <w:sz w:val="24"/>
        </w:rPr>
        <w:t>Appendix I: Academic &amp; Clinical Governance Disclaimer</w:t>
      </w:r>
    </w:p>
    <w:tbl>
      <w:tblPr>
        <w:tblW w:type="auto" w:w="0"/>
        <w:jc w:val="center"/>
        <w:tblLayout w:type="fixed"/>
        <w:tblLook w:firstColumn="1" w:firstRow="1" w:lastColumn="0" w:lastRow="0" w:noHBand="0" w:noVBand="1" w:val="04A0"/>
      </w:tblPr>
      <w:tblGrid>
        <w:gridCol w:w="9360"/>
      </w:tblGrid>
      <w:tr>
        <w:tc>
          <w:tcPr>
            <w:tcW w:type="dxa" w:w="9360"/>
            <w:shd w:fill="F8FAFC"/>
            <w:tcMar>
              <w:top w:w="120" w:type="dxa"/>
              <w:bottom w:w="120" w:type="dxa"/>
              <w:left w:w="180" w:type="dxa"/>
              <w:right w:w="180" w:type="dxa"/>
            </w:tcMar>
            <w:tcBorders>
              <w:left w:val="single" w:sz="36" w:space="0" w:color="0F6FBF"/>
              <w:top w:val="none"/>
              <w:right w:val="none"/>
              <w:bottom w:val="none"/>
            </w:tcBorders>
          </w:tcPr>
          <w:p>
            <w:pPr>
              <w:spacing w:line="276" w:lineRule="auto" w:after="0"/>
            </w:pPr>
            <w:r>
              <w:rPr>
                <w:rFonts w:ascii="Calibri" w:hAnsi="Calibri"/>
                <w:i/>
                <w:color w:val="334155"/>
                <w:sz w:val="20"/>
              </w:rPr>
              <w:t>LEGAL NOTICE: DermoScan is an academic software engineering project developed for educational and screening demonstration purposes. It is NOT cleared by the FDA or CE as Software as a Medical Device (SaMD) and DOES NOT provide definitive clinical diagnoses. It does not evaluate pigmented lesions for melanoma or prescribe pharmaceutical treatments. Always consult a licensed, board-certified dermatologist for medical evaluations.</w:t>
            </w:r>
          </w:p>
        </w:tc>
      </w:tr>
    </w:tbl>
    <w:p>
      <w:pPr>
        <w:spacing w:before="60" w:after="60"/>
      </w:pPr>
    </w:p>
    <w:p>
      <w:r>
        <w:br w:type="page"/>
      </w:r>
    </w:p>
    <w:p>
      <w:pPr>
        <w:keepNext/>
        <w:spacing w:before="320" w:after="120"/>
      </w:pPr>
      <w:r>
        <w:rPr>
          <w:rFonts w:ascii="Georgia" w:hAnsi="Georgia"/>
          <w:b/>
          <w:color w:val="0F6FBF"/>
          <w:sz w:val="28"/>
        </w:rPr>
        <w:t>Appendix K: Internship Certificate</w:t>
      </w:r>
    </w:p>
    <w:p>
      <w:pPr>
        <w:spacing w:after="160"/>
      </w:pPr>
      <w:r>
        <w:rPr>
          <w:b/>
        </w:rPr>
        <w:t xml:space="preserve">Student Name: </w:t>
      </w:r>
      <w:r>
        <w:t>Bhumireddy.Vijayesh Vardhan Reddy (Roll No: 72312924)</w:t>
        <w:br/>
      </w:r>
      <w:r>
        <w:rPr>
          <w:b/>
        </w:rPr>
        <w:t xml:space="preserve">Internship Program: </w:t>
      </w:r>
      <w:r>
        <w:t>Offline S-T Internship on AI Automation &amp; Agent Engineering</w:t>
        <w:br/>
      </w:r>
      <w:r>
        <w:rPr>
          <w:b/>
        </w:rPr>
        <w:t xml:space="preserve">Organization: </w:t>
      </w:r>
      <w:r>
        <w:t>Datavalley India Pvt. Ltd. in collaboration with APSCHE</w:t>
        <w:br/>
      </w:r>
      <w:r>
        <w:rPr>
          <w:b/>
        </w:rPr>
        <w:t xml:space="preserve">Certificate ID / Date: </w:t>
      </w:r>
      <w:r>
        <w:t>DV-755044a5 | Date: 13-08-2026</w:t>
      </w:r>
    </w:p>
    <w:p>
      <w:pPr>
        <w:jc w:val="center"/>
      </w:pPr>
      <w:r>
        <w:drawing>
          <wp:inline xmlns:a="http://schemas.openxmlformats.org/drawingml/2006/main" xmlns:pic="http://schemas.openxmlformats.org/drawingml/2006/picture">
            <wp:extent cx="5120640" cy="7242363"/>
            <wp:docPr id="2" name="Picture 2"/>
            <wp:cNvGraphicFramePr>
              <a:graphicFrameLocks noChangeAspect="1"/>
            </wp:cNvGraphicFramePr>
            <a:graphic>
              <a:graphicData uri="http://schemas.openxmlformats.org/drawingml/2006/picture">
                <pic:pic>
                  <pic:nvPicPr>
                    <pic:cNvPr id="0" name="internship_certificate.png"/>
                    <pic:cNvPicPr/>
                  </pic:nvPicPr>
                  <pic:blipFill>
                    <a:blip r:embed="rId12"/>
                    <a:stretch>
                      <a:fillRect/>
                    </a:stretch>
                  </pic:blipFill>
                  <pic:spPr>
                    <a:xfrm>
                      <a:off x="0" y="0"/>
                      <a:ext cx="5120640" cy="7242363"/>
                    </a:xfrm>
                    <a:prstGeom prst="rect"/>
                  </pic:spPr>
                </pic:pic>
              </a:graphicData>
            </a:graphic>
          </wp:inline>
        </w:drawing>
      </w:r>
    </w:p>
    <w:p>
      <w:r>
        <w:br w:type="page"/>
      </w:r>
    </w:p>
    <w:p>
      <w:pPr>
        <w:keepNext/>
        <w:spacing w:before="320" w:after="120"/>
      </w:pPr>
      <w:r>
        <w:rPr>
          <w:rFonts w:ascii="Georgia" w:hAnsi="Georgia"/>
          <w:b/>
          <w:color w:val="0F6FBF"/>
          <w:sz w:val="28"/>
        </w:rPr>
        <w:t>Appendix L: Project Completion Certificate</w:t>
      </w:r>
    </w:p>
    <w:p>
      <w:pPr>
        <w:spacing w:after="160"/>
      </w:pPr>
      <w:r>
        <w:rPr>
          <w:b/>
        </w:rPr>
        <w:t xml:space="preserve">Student Name: </w:t>
      </w:r>
      <w:r>
        <w:t>B.R. Vijayesh Vardhan Reddy (Roll No: 72312924)</w:t>
        <w:br/>
      </w:r>
      <w:r>
        <w:rPr>
          <w:b/>
        </w:rPr>
        <w:t xml:space="preserve">Project Title: </w:t>
      </w:r>
      <w:r>
        <w:t>DERMO SCAN</w:t>
        <w:br/>
      </w:r>
      <w:r>
        <w:rPr>
          <w:b/>
        </w:rPr>
        <w:t xml:space="preserve">Organization: </w:t>
      </w:r>
      <w:r>
        <w:t>Data Valley (Pvt. Ltd.)</w:t>
        <w:br/>
      </w:r>
      <w:r>
        <w:rPr>
          <w:b/>
        </w:rPr>
        <w:t xml:space="preserve">Authorized Signatory: </w:t>
      </w:r>
      <w:r>
        <w:t>Shaik. Arshad, Project Coordinator (with official seal)</w:t>
      </w:r>
    </w:p>
    <w:p>
      <w:pPr>
        <w:jc w:val="center"/>
      </w:pPr>
      <w:r>
        <w:drawing>
          <wp:inline xmlns:a="http://schemas.openxmlformats.org/drawingml/2006/main" xmlns:pic="http://schemas.openxmlformats.org/drawingml/2006/picture">
            <wp:extent cx="5303520" cy="3977640"/>
            <wp:docPr id="3" name="Picture 3"/>
            <wp:cNvGraphicFramePr>
              <a:graphicFrameLocks noChangeAspect="1"/>
            </wp:cNvGraphicFramePr>
            <a:graphic>
              <a:graphicData uri="http://schemas.openxmlformats.org/drawingml/2006/picture">
                <pic:pic>
                  <pic:nvPicPr>
                    <pic:cNvPr id="0" name="media_1793277940949_26b3d546.jpg"/>
                    <pic:cNvPicPr/>
                  </pic:nvPicPr>
                  <pic:blipFill>
                    <a:blip r:embed="rId13"/>
                    <a:stretch>
                      <a:fillRect/>
                    </a:stretch>
                  </pic:blipFill>
                  <pic:spPr>
                    <a:xfrm>
                      <a:off x="0" y="0"/>
                      <a:ext cx="5303520" cy="3977640"/>
                    </a:xfrm>
                    <a:prstGeom prst="rect"/>
                  </pic:spPr>
                </pic:pic>
              </a:graphicData>
            </a:graphic>
          </wp:inline>
        </w:drawing>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94A3B8"/>
        <w:sz w:val="17"/>
      </w:rPr>
      <w:t>DERMO SCAN • Department of Computer Science &amp; Engineering (AI &amp; DS), CT University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94A3B8"/>
        <w:sz w:val="17"/>
      </w:rPr>
      <w:t>CT UNIVERSITY • INDUSTRIAL TRAINING PROJECT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color w:val="334155"/>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