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farm_equipment_finance_marketplace"/>
      <w:r>
        <w:rPr>
          <w:b/>
          <w:sz w:val="56"/>
        </w:rPr>
        <w:t xml:space="preserve">Farm Equipment Finance Marketplace</w:t>
      </w:r>
      <w:bookmarkEnd w:id="0"/>
    </w:p>
    <w:p>
      <w:pPr>
        <w:spacing w:line="271" w:before="240" w:lineRule="auto"/>
      </w:pPr>
      <w:bookmarkStart w:id="1" w:name="comprehensive_investor_grade_busi_d006c6"/>
      <w:r>
        <w:rPr>
          <w:b/>
          <w:sz w:val="42"/>
        </w:rPr>
        <w:t xml:space="preserve">Comprehensive Investor-Grade Business Plan (Enhanced Edition)</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investor_brief_1_page_executive_overview"/>
      <w:r>
        <w:rPr>
          <w:b/>
          <w:sz w:val="42"/>
        </w:rPr>
        <w:t xml:space="preserve">INVESTOR BRIEF (1-Page Executive Overview)</w:t>
      </w:r>
      <w:bookmarkEnd w:id="2"/>
    </w:p>
    <w:p>
      <w:pPr>
        <w:spacing w:line="271" w:before="240" w:lineRule="auto"/>
      </w:pPr>
      <w:bookmarkStart w:id="3" w:name="the_problem"/>
      <w:r>
        <w:rPr>
          <w:b/>
          <w:sz w:val="33"/>
        </w:rPr>
        <w:t xml:space="preserve">The Problem</w:t>
      </w:r>
      <w:bookmarkEnd w:id="3"/>
    </w:p>
    <w:p>
      <w:pPr>
        <w:spacing w:after="210" w:lineRule="auto"/>
      </w:pPr>
      <w:r>
        <w:rPr>
          <w:rFonts w:eastAsia="Georgia" w:cs="Georgia" w:ascii="Georgia" w:hAnsi="Georgia"/>
        </w:rPr>
        <w:t xml:space="preserve">Agricultural equipment financing—a $74.5B global market—remains fragmented and slow. Farmers face 3–7 day approval windows; dealers navigate 5+ lender portals with manual data entry; lenders receive incomplete applications. Rural borrowers (89% of U.S. farms) lack access to competitive rates due to consolidation of community banks and branch closures.</w:t>
      </w:r>
    </w:p>
    <w:p>
      <w:pPr>
        <w:spacing w:line="271" w:before="240" w:lineRule="auto"/>
      </w:pPr>
      <w:bookmarkStart w:id="4" w:name="the_solution"/>
      <w:r>
        <w:rPr>
          <w:b/>
          <w:sz w:val="33"/>
        </w:rPr>
        <w:t xml:space="preserve">The Solution</w:t>
      </w:r>
      <w:bookmarkEnd w:id="4"/>
    </w:p>
    <w:p>
      <w:pPr>
        <w:spacing w:after="210" w:lineRule="auto"/>
      </w:pPr>
      <w:r>
        <w:rPr/>
        <w:t xml:space="preserve">A neutral, multi-lender SaaS marketplace embedded at the point of sale. Dealers originate in one unified workflow; farmers apply once; lenders receive standardized, compliant applications routed intelligently based on borrower fit and approval capacity.</w:t>
      </w:r>
    </w:p>
    <w:p>
      <w:pPr>
        <w:spacing w:line="271" w:before="240" w:lineRule="auto"/>
      </w:pPr>
      <w:bookmarkStart w:id="5" w:name="the_market_traction_opportunity"/>
      <w:r>
        <w:rPr>
          <w:b/>
          <w:sz w:val="33"/>
        </w:rPr>
        <w:t xml:space="preserve">The Market &amp; Traction Opportunity</w:t>
      </w:r>
      <w:bookmarkEnd w:id="5"/>
    </w:p>
    <w:p>
      <w:pPr>
        <w:numPr>
          <w:ilvl w:val="0"/>
          <w:numId w:val="1"/>
        </w:numPr>
        <w:spacing w:lineRule="auto"/>
      </w:pPr>
      <w:r>
        <w:rPr>
          <w:b/>
        </w:rPr>
        <w:t xml:space="preserve">TAM</w:t>
      </w:r>
      <w:r>
        <w:rPr/>
        <w:t xml:space="preserve">: $100B+ annual U.S. agricultural equipment financing</w:t>
      </w:r>
    </w:p>
    <w:p>
      <w:pPr>
        <w:numPr>
          <w:ilvl w:val="0"/>
          <w:numId w:val="1"/>
        </w:numPr>
        <w:spacing w:lineRule="auto"/>
      </w:pPr>
      <w:r>
        <w:rPr>
          <w:b/>
        </w:rPr>
        <w:t xml:space="preserve">SAM</w:t>
      </w:r>
      <w:r>
        <w:rPr>
          <w:rFonts w:eastAsia="Georgia" w:cs="Georgia" w:ascii="Georgia" w:hAnsi="Georgia"/>
        </w:rPr>
        <w:t xml:space="preserve">: ~$35B (non-captive, dealer-originated volume)</w:t>
      </w:r>
    </w:p>
    <w:p>
      <w:pPr>
        <w:numPr>
          <w:ilvl w:val="0"/>
          <w:numId w:val="1"/>
        </w:numPr>
        <w:spacing w:lineRule="auto"/>
      </w:pPr>
      <w:r>
        <w:rPr>
          <w:b/>
        </w:rPr>
        <w:t xml:space="preserve">SOM</w:t>
      </w:r>
      <w:r>
        <w:rPr>
          <w:rFonts w:eastAsia="Georgia" w:cs="Georgia" w:ascii="Georgia" w:hAnsi="Georgia"/>
        </w:rPr>
        <w:t xml:space="preserve">: ~$5B (target 1,200 dealers, 50 funded loans/year each)</w:t>
      </w:r>
    </w:p>
    <w:p>
      <w:pPr>
        <w:numPr>
          <w:ilvl w:val="0"/>
          <w:numId w:val="1"/>
        </w:numPr>
        <w:spacing w:lineRule="auto"/>
      </w:pPr>
      <w:r>
        <w:rPr>
          <w:b/>
        </w:rPr>
        <w:t xml:space="preserve">2025 Tailwinds</w:t>
      </w:r>
      <w:r>
        <w:rPr>
          <w:rFonts w:eastAsia="Georgia" w:cs="Georgia" w:ascii="Georgia" w:hAnsi="Georgia"/>
        </w:rPr>
        <w:t xml:space="preserve">: Equipment prices +35–40% since 2015; farmers increasingly digitized; OEM networks modernizing</w:t>
      </w:r>
    </w:p>
    <w:p>
      <w:pPr>
        <w:spacing w:line="271" w:before="240" w:lineRule="auto"/>
      </w:pPr>
      <w:bookmarkStart w:id="6" w:name="go_to_market"/>
      <w:r>
        <w:rPr>
          <w:b/>
          <w:sz w:val="33"/>
        </w:rPr>
        <w:t xml:space="preserve">Go-to-Market</w:t>
      </w:r>
      <w:bookmarkEnd w:id="6"/>
    </w:p>
    <w:p>
      <w:pPr>
        <w:spacing w:after="210" w:lineRule="auto"/>
      </w:pPr>
      <w:r>
        <w:rPr>
          <w:rFonts w:eastAsia="Georgia" w:cs="Georgia" w:ascii="Georgia" w:hAnsi="Georgia"/>
        </w:rPr>
        <w:t xml:space="preserve">Dealer-first: 40 dealers in Year 1 → 1,200 by Year 5, covering all major equipment categories and geographies. Lender integrations (6–10 by Year 2) unlock competitive pricing for borrowers and quality deal flow for lenders.</w:t>
      </w:r>
    </w:p>
    <w:p>
      <w:pPr>
        <w:spacing w:line="271" w:before="240" w:lineRule="auto"/>
      </w:pPr>
      <w:bookmarkStart w:id="7" w:name="financial_snapshot_base_case"/>
      <w:r>
        <w:rPr>
          <w:b/>
          <w:sz w:val="33"/>
        </w:rPr>
        <w:t xml:space="preserve">Financial Snapshot (Base Case)</w:t>
      </w:r>
      <w:bookmarkEnd w:id="7"/>
    </w:p>
    <w:p>
      <w:pPr>
        <w:numPr>
          <w:ilvl w:val="0"/>
          <w:numId w:val="2"/>
        </w:numPr>
        <w:spacing w:lineRule="auto"/>
      </w:pPr>
      <w:r>
        <w:rPr>
          <w:rFonts w:eastAsia="Georgia" w:cs="Georgia" w:ascii="Georgia" w:hAnsi="Georgia"/>
        </w:rPr>
        <w:t xml:space="preserve">Year 1: $3.5M revenue | Break-even Year 2–3</w:t>
      </w:r>
    </w:p>
    <w:p>
      <w:pPr>
        <w:numPr>
          <w:ilvl w:val="0"/>
          <w:numId w:val="2"/>
        </w:numPr>
        <w:spacing w:lineRule="auto"/>
      </w:pPr>
      <w:r>
        <w:rPr/>
        <w:t xml:space="preserve">Year 5: $104.6M revenue | 40% EBITDA margin</w:t>
      </w:r>
    </w:p>
    <w:p>
      <w:pPr>
        <w:numPr>
          <w:ilvl w:val="0"/>
          <w:numId w:val="2"/>
        </w:numPr>
        <w:spacing w:lineRule="auto"/>
      </w:pPr>
      <w:r>
        <w:rPr/>
        <w:t xml:space="preserve">Unit economics: $87K revenue/dealer/year (SaaS + success fees) | &lt;6-month CAC payback</w:t>
      </w:r>
    </w:p>
    <w:p>
      <w:pPr>
        <w:numPr>
          <w:ilvl w:val="0"/>
          <w:numId w:val="2"/>
        </w:numPr>
        <w:spacing w:lineRule="auto"/>
      </w:pPr>
      <w:r>
        <w:rPr>
          <w:rFonts w:eastAsia="Georgia" w:cs="Georgia" w:ascii="Georgia" w:hAnsi="Georgia"/>
        </w:rPr>
        <w:t xml:space="preserve">Gross margin: 80% → 88% (software leverage)</w:t>
      </w:r>
    </w:p>
    <w:p>
      <w:pPr>
        <w:spacing w:line="271" w:before="240" w:lineRule="auto"/>
      </w:pPr>
      <w:bookmarkStart w:id="8" w:name="competitive_moat"/>
      <w:r>
        <w:rPr>
          <w:b/>
          <w:sz w:val="33"/>
        </w:rPr>
        <w:t xml:space="preserve">Competitive Moat</w:t>
      </w:r>
      <w:bookmarkEnd w:id="8"/>
    </w:p>
    <w:p>
      <w:pPr>
        <w:numPr>
          <w:ilvl w:val="0"/>
          <w:numId w:val="3"/>
        </w:numPr>
        <w:spacing w:lineRule="auto"/>
      </w:pPr>
      <w:r>
        <w:rPr>
          <w:b/>
        </w:rPr>
        <w:t xml:space="preserve">Multi-lender neutrality</w:t>
      </w:r>
      <w:r>
        <w:rPr/>
        <w:t xml:space="preserve"> (captives cannot replicate)</w:t>
      </w:r>
    </w:p>
    <w:p>
      <w:pPr>
        <w:numPr>
          <w:ilvl w:val="0"/>
          <w:numId w:val="3"/>
        </w:numPr>
        <w:spacing w:lineRule="auto"/>
      </w:pPr>
      <w:r>
        <w:rPr>
          <w:b/>
        </w:rPr>
        <w:t xml:space="preserve">Rural-specialized underwriting data</w:t>
      </w:r>
      <w:r>
        <w:rPr/>
        <w:t xml:space="preserve"> (accumulated over years)</w:t>
      </w:r>
    </w:p>
    <w:p>
      <w:pPr>
        <w:numPr>
          <w:ilvl w:val="0"/>
          <w:numId w:val="3"/>
        </w:numPr>
        <w:spacing w:lineRule="auto"/>
      </w:pPr>
      <w:r>
        <w:rPr>
          <w:b/>
        </w:rPr>
        <w:t xml:space="preserve">Dealer workflow stickiness</w:t>
      </w:r>
      <w:r>
        <w:rPr/>
        <w:t xml:space="preserve"> (switching costs)</w:t>
      </w:r>
    </w:p>
    <w:p>
      <w:pPr>
        <w:numPr>
          <w:ilvl w:val="0"/>
          <w:numId w:val="3"/>
        </w:numPr>
        <w:spacing w:lineRule="auto"/>
      </w:pPr>
      <w:r>
        <w:rPr>
          <w:b/>
        </w:rPr>
        <w:t xml:space="preserve">Lender integration depth</w:t>
      </w:r>
      <w:r>
        <w:rPr/>
        <w:t xml:space="preserve"> (expensive, defensible)</w:t>
      </w:r>
    </w:p>
    <w:p>
      <w:pPr>
        <w:spacing w:line="271" w:before="240" w:lineRule="auto"/>
      </w:pPr>
      <w:bookmarkStart w:id="9" w:name="why_now"/>
      <w:r>
        <w:rPr>
          <w:b/>
          <w:sz w:val="33"/>
        </w:rPr>
        <w:t xml:space="preserve">Why Now</w:t>
      </w:r>
      <w:bookmarkEnd w:id="9"/>
    </w:p>
    <w:p>
      <w:pPr>
        <w:numPr>
          <w:ilvl w:val="0"/>
          <w:numId w:val="4"/>
        </w:numPr>
        <w:spacing w:lineRule="auto"/>
      </w:pPr>
      <w:r>
        <w:rPr/>
        <w:t xml:space="preserve">Farm equipment values at historic highs; financing critical</w:t>
      </w:r>
    </w:p>
    <w:p>
      <w:pPr>
        <w:numPr>
          <w:ilvl w:val="0"/>
          <w:numId w:val="4"/>
        </w:numPr>
        <w:spacing w:lineRule="auto"/>
      </w:pPr>
      <w:r>
        <w:rPr/>
        <w:t xml:space="preserve">Dealers actively seeking digital solutions</w:t>
      </w:r>
    </w:p>
    <w:p>
      <w:pPr>
        <w:numPr>
          <w:ilvl w:val="0"/>
          <w:numId w:val="4"/>
        </w:numPr>
        <w:spacing w:lineRule="auto"/>
      </w:pPr>
      <w:r>
        <w:rPr/>
        <w:t xml:space="preserve">Lenders modernizing post-pandemic</w:t>
      </w:r>
    </w:p>
    <w:p>
      <w:pPr>
        <w:numPr>
          <w:ilvl w:val="0"/>
          <w:numId w:val="4"/>
        </w:numPr>
        <w:spacing w:lineRule="auto"/>
      </w:pPr>
      <w:r>
        <w:rPr/>
        <w:t xml:space="preserve">OEMs pushing dealer digitization initiatives</w:t>
      </w:r>
    </w:p>
    <w:p>
      <w:pPr>
        <w:numPr>
          <w:ilvl w:val="0"/>
          <w:numId w:val="4"/>
        </w:numPr>
        <w:spacing w:lineRule="auto"/>
      </w:pPr>
      <w:r>
        <w:rPr/>
        <w:t xml:space="preserve">Federal rural-development funding tailwinds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table_of_contents"/>
      <w:r>
        <w:rPr>
          <w:b/>
          <w:sz w:val="42"/>
        </w:rPr>
        <w:t xml:space="preserve">TABLE OF CONTENTS</w:t>
      </w:r>
      <w:bookmarkEnd w:id="10"/>
    </w:p>
    <w:p>
      <w:pPr>
        <w:numPr>
          <w:ilvl w:val="0"/>
          <w:numId w:val="5"/>
        </w:numPr>
        <w:spacing w:lineRule="auto"/>
      </w:pPr>
      <w:r>
        <w:rPr/>
        <w:t xml:space="preserve">Executive Summary</w:t>
      </w:r>
    </w:p>
    <w:p>
      <w:pPr>
        <w:numPr>
          <w:ilvl w:val="0"/>
          <w:numId w:val="5"/>
        </w:numPr>
        <w:spacing w:lineRule="auto"/>
      </w:pPr>
      <w:r>
        <w:rPr/>
        <w:t xml:space="preserve">Company Overview &amp; Mission</w:t>
      </w:r>
    </w:p>
    <w:p>
      <w:pPr>
        <w:numPr>
          <w:ilvl w:val="0"/>
          <w:numId w:val="5"/>
        </w:numPr>
        <w:spacing w:lineRule="auto"/>
      </w:pPr>
      <w:r>
        <w:rPr/>
        <w:t xml:space="preserve">Market Overview &amp; Macro Landscape</w:t>
      </w:r>
    </w:p>
    <w:p>
      <w:pPr>
        <w:numPr>
          <w:ilvl w:val="0"/>
          <w:numId w:val="5"/>
        </w:numPr>
        <w:spacing w:lineRule="auto"/>
      </w:pPr>
      <w:r>
        <w:rPr/>
        <w:t xml:space="preserve">Farmer Pain Points</w:t>
      </w:r>
    </w:p>
    <w:p>
      <w:pPr>
        <w:numPr>
          <w:ilvl w:val="0"/>
          <w:numId w:val="5"/>
        </w:numPr>
        <w:spacing w:lineRule="auto"/>
      </w:pPr>
      <w:r>
        <w:rPr/>
        <w:t xml:space="preserve">System Inefficiencies</w:t>
      </w:r>
    </w:p>
    <w:p>
      <w:pPr>
        <w:numPr>
          <w:ilvl w:val="0"/>
          <w:numId w:val="5"/>
        </w:numPr>
        <w:spacing w:lineRule="auto"/>
      </w:pPr>
      <w:r>
        <w:rPr/>
        <w:t xml:space="preserve">Customer Segmentation</w:t>
      </w:r>
    </w:p>
    <w:p>
      <w:pPr>
        <w:numPr>
          <w:ilvl w:val="0"/>
          <w:numId w:val="5"/>
        </w:numPr>
        <w:spacing w:lineRule="auto"/>
      </w:pPr>
      <w:r>
        <w:rPr/>
        <w:t xml:space="preserve">TAM / SAM / SOM</w:t>
      </w:r>
    </w:p>
    <w:p>
      <w:pPr>
        <w:numPr>
          <w:ilvl w:val="0"/>
          <w:numId w:val="5"/>
        </w:numPr>
        <w:spacing w:lineRule="auto"/>
      </w:pPr>
      <w:r>
        <w:rPr/>
        <w:t xml:space="preserve">Competitive Landscape &amp; SWOT</w:t>
      </w:r>
    </w:p>
    <w:p>
      <w:pPr>
        <w:numPr>
          <w:ilvl w:val="0"/>
          <w:numId w:val="5"/>
        </w:numPr>
        <w:spacing w:lineRule="auto"/>
      </w:pPr>
      <w:r>
        <w:rPr/>
        <w:t xml:space="preserve">Value Proposition &amp; Moat</w:t>
      </w:r>
    </w:p>
    <w:p>
      <w:pPr>
        <w:numPr>
          <w:ilvl w:val="0"/>
          <w:numId w:val="5"/>
        </w:numPr>
        <w:spacing w:lineRule="auto"/>
      </w:pPr>
      <w:r>
        <w:rPr/>
        <w:t xml:space="preserve">Product &amp; Platform Architecture</w:t>
      </w:r>
    </w:p>
    <w:p>
      <w:pPr>
        <w:numPr>
          <w:ilvl w:val="0"/>
          <w:numId w:val="5"/>
        </w:numPr>
        <w:spacing w:lineRule="auto"/>
      </w:pPr>
      <w:r>
        <w:rPr/>
        <w:t xml:space="preserve">Business Model &amp; Unit Economics</w:t>
      </w:r>
    </w:p>
    <w:p>
      <w:pPr>
        <w:numPr>
          <w:ilvl w:val="0"/>
          <w:numId w:val="5"/>
        </w:numPr>
        <w:spacing w:lineRule="auto"/>
      </w:pPr>
      <w:r>
        <w:rPr/>
        <w:t xml:space="preserve">Go-to-Market Strategy</w:t>
      </w:r>
    </w:p>
    <w:p>
      <w:pPr>
        <w:numPr>
          <w:ilvl w:val="0"/>
          <w:numId w:val="5"/>
        </w:numPr>
        <w:spacing w:lineRule="auto"/>
      </w:pPr>
      <w:r>
        <w:rPr/>
        <w:t xml:space="preserve">Regulatory &amp; Compliance Strategy</w:t>
      </w:r>
    </w:p>
    <w:p>
      <w:pPr>
        <w:numPr>
          <w:ilvl w:val="0"/>
          <w:numId w:val="5"/>
        </w:numPr>
        <w:spacing w:lineRule="auto"/>
      </w:pPr>
      <w:r>
        <w:rPr/>
        <w:t xml:space="preserve">Risk Analysis &amp; Mitigation</w:t>
      </w:r>
    </w:p>
    <w:p>
      <w:pPr>
        <w:numPr>
          <w:ilvl w:val="0"/>
          <w:numId w:val="5"/>
        </w:numPr>
        <w:spacing w:lineRule="auto"/>
      </w:pPr>
      <w:r>
        <w:rPr/>
        <w:t xml:space="preserve">Financial Model</w:t>
      </w:r>
    </w:p>
    <w:p>
      <w:pPr>
        <w:numPr>
          <w:ilvl w:val="0"/>
          <w:numId w:val="5"/>
        </w:numPr>
        <w:spacing w:lineRule="auto"/>
      </w:pPr>
      <w:r>
        <w:rPr/>
        <w:t xml:space="preserve">Team &amp; Execution</w:t>
      </w:r>
    </w:p>
    <w:p>
      <w:pPr>
        <w:numPr>
          <w:ilvl w:val="0"/>
          <w:numId w:val="5"/>
        </w:numPr>
        <w:spacing w:lineRule="auto"/>
      </w:pPr>
      <w:r>
        <w:rPr/>
        <w:t xml:space="preserve">Milestones &amp; Traction</w:t>
      </w:r>
    </w:p>
    <w:p>
      <w:pPr>
        <w:numPr>
          <w:ilvl w:val="0"/>
          <w:numId w:val="5"/>
        </w:numPr>
        <w:spacing w:lineRule="auto"/>
      </w:pPr>
      <w:r>
        <w:rPr/>
        <w:t xml:space="preserve">Key Assumptions &amp; Sensitivity Analysis</w:t>
      </w:r>
    </w:p>
    <w:p>
      <w:pPr>
        <w:numPr>
          <w:ilvl w:val="0"/>
          <w:numId w:val="5"/>
        </w:numPr>
        <w:spacing w:lineRule="auto"/>
      </w:pPr>
      <w:r>
        <w:rPr/>
        <w:t xml:space="preserve">Appendix: Data Sources &amp; Support Materials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bm_1_executive_summary"/>
      <w:r>
        <w:rPr>
          <w:b/>
          <w:sz w:val="42"/>
        </w:rPr>
        <w:t xml:space="preserve">1. EXECUTIVE SUMMARY</w:t>
      </w:r>
      <w:bookmarkEnd w:id="11"/>
    </w:p>
    <w:p>
      <w:pPr>
        <w:spacing w:line="271" w:before="240" w:lineRule="auto"/>
      </w:pPr>
      <w:bookmarkStart w:id="12" w:name="market_opportunity_problem_statement"/>
      <w:r>
        <w:rPr>
          <w:b/>
          <w:sz w:val="33"/>
        </w:rPr>
        <w:t xml:space="preserve">Market Opportunity &amp; Problem Statement</w:t>
      </w:r>
      <w:bookmarkEnd w:id="12"/>
    </w:p>
    <w:p>
      <w:pPr>
        <w:spacing w:after="210" w:lineRule="auto"/>
      </w:pPr>
      <w:r>
        <w:rPr>
          <w:rFonts w:eastAsia="Georgia" w:cs="Georgia" w:ascii="Georgia" w:hAnsi="Georgia"/>
        </w:rPr>
        <w:t xml:space="preserve">Agricultural equipment financing supports over $100B in annual U.S. equipment purchases. Yet the workflow connecting farmers, dealers, lenders, and OEMs remains outdated and slow. Small and mid-sized farms—representing nearly 89% of all U.S. farms (per USDA farm-structure statistics)—face disproportionate barriers accessing competitive financing.</w:t>
      </w:r>
    </w:p>
    <w:p>
      <w:pPr>
        <w:spacing w:after="210" w:lineRule="auto"/>
      </w:pPr>
      <w:r>
        <w:rPr/>
        <w:t xml:space="preserve">Global agricultural equipment finance market is valued at $74.5B (2024) and is forecast to grow 6.3% CAGR through 2034, driven by rising equipment costs, precision farming adoption, and farmer digitization[source:1][source:5].</w:t>
      </w:r>
    </w:p>
    <w:p>
      <w:pPr>
        <w:spacing w:line="271" w:before="240" w:lineRule="auto"/>
      </w:pPr>
      <w:bookmarkStart w:id="13" w:name="our_solution"/>
      <w:r>
        <w:rPr>
          <w:b/>
          <w:sz w:val="33"/>
        </w:rPr>
        <w:t xml:space="preserve">Our Solution</w:t>
      </w:r>
      <w:bookmarkEnd w:id="13"/>
    </w:p>
    <w:p>
      <w:pPr>
        <w:spacing w:after="210" w:lineRule="auto"/>
      </w:pPr>
      <w:r>
        <w:rPr/>
        <w:t xml:space="preserve">We deliver a </w:t>
      </w:r>
      <w:r>
        <w:rPr>
          <w:b/>
        </w:rPr>
        <w:t xml:space="preserve">multi-lender, dealer-embedded SaaS marketplace</w:t>
      </w:r>
      <w:r>
        <w:rPr/>
        <w:t xml:space="preserve"> built specifically for agricultural equipment finance. The platform:</w:t>
      </w:r>
    </w:p>
    <w:p>
      <w:pPr>
        <w:numPr>
          <w:ilvl w:val="0"/>
          <w:numId w:val="6"/>
        </w:numPr>
        <w:spacing w:lineRule="auto"/>
      </w:pPr>
      <w:r>
        <w:rPr/>
        <w:t xml:space="preserve">Standardizes applications and automates documentation</w:t>
      </w:r>
    </w:p>
    <w:p>
      <w:pPr>
        <w:numPr>
          <w:ilvl w:val="0"/>
          <w:numId w:val="6"/>
        </w:numPr>
        <w:spacing w:lineRule="auto"/>
      </w:pPr>
      <w:r>
        <w:rPr/>
        <w:t xml:space="preserve">Intelligently routes deals to lenders for faster approvals</w:t>
      </w:r>
    </w:p>
    <w:p>
      <w:pPr>
        <w:numPr>
          <w:ilvl w:val="0"/>
          <w:numId w:val="6"/>
        </w:numPr>
        <w:spacing w:lineRule="auto"/>
      </w:pPr>
      <w:r>
        <w:rPr/>
        <w:t xml:space="preserve">Provides borrowers transparent access to competitive lenders</w:t>
      </w:r>
    </w:p>
    <w:p>
      <w:pPr>
        <w:numPr>
          <w:ilvl w:val="0"/>
          <w:numId w:val="6"/>
        </w:numPr>
        <w:spacing w:lineRule="auto"/>
      </w:pPr>
      <w:r>
        <w:rPr/>
        <w:t xml:space="preserve">Offers lenders standardized, audit-ready applications</w:t>
      </w:r>
    </w:p>
    <w:p>
      <w:pPr>
        <w:numPr>
          <w:ilvl w:val="0"/>
          <w:numId w:val="6"/>
        </w:numPr>
        <w:spacing w:lineRule="auto"/>
      </w:pPr>
      <w:r>
        <w:rPr/>
        <w:t xml:space="preserve">Improves outcomes for farmers, dealers, lenders, and OEMs alike</w:t>
      </w:r>
    </w:p>
    <w:p>
      <w:pPr>
        <w:spacing w:line="271" w:before="240" w:lineRule="auto"/>
      </w:pPr>
      <w:bookmarkStart w:id="14" w:name="the_wedge_who_we_target_first"/>
      <w:r>
        <w:rPr>
          <w:b/>
          <w:sz w:val="33"/>
        </w:rPr>
        <w:t xml:space="preserve">The Wedge: Who We Target First</w:t>
      </w:r>
      <w:bookmarkEnd w:id="14"/>
    </w:p>
    <w:p>
      <w:pPr>
        <w:spacing w:after="210" w:lineRule="auto"/>
      </w:pPr>
      <w:r>
        <w:rPr>
          <w:b/>
        </w:rPr>
        <w:t xml:space="preserve">Initial 12-24 Month Focus:</w:t>
      </w:r>
    </w:p>
    <w:p>
      <w:pPr>
        <w:numPr>
          <w:ilvl w:val="0"/>
          <w:numId w:val="7"/>
        </w:numPr>
        <w:spacing w:lineRule="auto"/>
      </w:pPr>
      <w:r>
        <w:rPr>
          <w:b/>
        </w:rPr>
        <w:t xml:space="preserve">Dealers</w:t>
      </w:r>
      <w:r>
        <w:rPr>
          <w:rFonts w:eastAsia="Georgia" w:cs="Georgia" w:ascii="Georgia" w:hAnsi="Georgia"/>
        </w:rPr>
        <w:t xml:space="preserve">: Independent and small multi-location dealer groups (1–10 locations) in Midwest/Plains, selling new and used equipment across multiple manufacturers (John Deere, CNH, AGCO, Kubota, etc.)</w:t>
      </w:r>
    </w:p>
    <w:p>
      <w:pPr>
        <w:numPr>
          <w:ilvl w:val="0"/>
          <w:numId w:val="7"/>
        </w:numPr>
        <w:spacing w:lineRule="auto"/>
      </w:pPr>
      <w:r>
        <w:rPr>
          <w:b/>
        </w:rPr>
        <w:t xml:space="preserve">Equipment Types</w:t>
      </w:r>
      <w:r>
        <w:rPr/>
        <w:t xml:space="preserve">: Tractors, combines, implements, utility equipment (the highest-volume, fastest-moving category)</w:t>
      </w:r>
    </w:p>
    <w:p>
      <w:pPr>
        <w:numPr>
          <w:ilvl w:val="0"/>
          <w:numId w:val="7"/>
        </w:numPr>
        <w:spacing w:lineRule="auto"/>
      </w:pPr>
      <w:r>
        <w:rPr>
          <w:b/>
        </w:rPr>
        <w:t xml:space="preserve">Borrowers</w:t>
      </w:r>
      <w:r>
        <w:rPr>
          <w:rFonts w:eastAsia="Georgia" w:cs="Georgia" w:ascii="Georgia" w:hAnsi="Georgia"/>
        </w:rPr>
        <w:t xml:space="preserve">: Small to mid-size farms ($50K–$1M revenue), historically underserved by digital financing workflows</w:t>
      </w:r>
    </w:p>
    <w:p>
      <w:pPr>
        <w:numPr>
          <w:ilvl w:val="0"/>
          <w:numId w:val="7"/>
        </w:numPr>
        <w:spacing w:lineRule="auto"/>
      </w:pPr>
      <w:r>
        <w:rPr>
          <w:b/>
        </w:rPr>
        <w:t xml:space="preserve">Lenders</w:t>
      </w:r>
      <w:r>
        <w:rPr/>
        <w:t xml:space="preserve">: Regional banks, credit unions, and non-captive ag lenders seeking dealer-originated deal flow</w:t>
      </w:r>
    </w:p>
    <w:p>
      <w:pPr>
        <w:spacing w:after="210" w:lineRule="auto"/>
      </w:pPr>
      <w:r>
        <w:rPr/>
        <w:t xml:space="preserve">This wedge solves the most acute pain point: dealers with 5+ lender relationships, 0 unified workflow, and high deal-abandonment due to friction.</w:t>
      </w:r>
    </w:p>
    <w:p>
      <w:pPr>
        <w:spacing w:line="271" w:before="240" w:lineRule="auto"/>
      </w:pPr>
      <w:bookmarkStart w:id="15" w:name="initial_success_metrics_design_pa_cd56f5"/>
      <w:r>
        <w:rPr>
          <w:b/>
          <w:sz w:val="33"/>
        </w:rPr>
        <w:t xml:space="preserve">Initial Success Metrics (Design Partner Program)</w:t>
      </w:r>
      <w:bookmarkEnd w:id="15"/>
    </w:p>
    <w:p>
      <w:pPr>
        <w:spacing w:after="210" w:lineRule="auto"/>
      </w:pPr>
      <w:r>
        <w:rPr/>
        <w:t xml:space="preserve">To validate product-market fit before full-scale launch:</w:t>
      </w:r>
    </w:p>
    <w:p>
      <w:pPr>
        <w:numPr>
          <w:ilvl w:val="0"/>
          <w:numId w:val="8"/>
        </w:numPr>
        <w:spacing w:lineRule="auto"/>
      </w:pPr>
      <w:r>
        <w:rPr>
          <w:b/>
        </w:rPr>
        <w:t xml:space="preserve">20–30 Design Partner Dealers</w:t>
      </w:r>
      <w:r>
        <w:rPr>
          <w:rFonts w:eastAsia="Georgia" w:cs="Georgia" w:ascii="Georgia" w:hAnsi="Georgia"/>
        </w:rPr>
        <w:t xml:space="preserve"> by end of Year 1 covering ~150 locations</w:t>
      </w:r>
    </w:p>
    <w:p>
      <w:pPr>
        <w:numPr>
          <w:ilvl w:val="0"/>
          <w:numId w:val="8"/>
        </w:numPr>
        <w:spacing w:lineRule="auto"/>
      </w:pPr>
      <w:r>
        <w:rPr>
          <w:b/>
        </w:rPr>
        <w:t xml:space="preserve">5–8 integrated lenders</w:t>
      </w:r>
      <w:r>
        <w:rPr/>
        <w:t xml:space="preserve"> (mix of community banks, credit unions, Farm Credit)</w:t>
      </w:r>
    </w:p>
    <w:p>
      <w:pPr>
        <w:numPr>
          <w:ilvl w:val="0"/>
          <w:numId w:val="8"/>
        </w:numPr>
        <w:spacing w:lineRule="auto"/>
      </w:pPr>
      <w:r>
        <w:rPr>
          <w:b/>
        </w:rPr>
        <w:t xml:space="preserve">Deployed features</w:t>
      </w:r>
      <w:r>
        <w:rPr/>
        <w:t xml:space="preserve">: Unified dealer application, multi-lender submission, real-time status tracking, automated document collection, basic routing logic</w:t>
      </w:r>
    </w:p>
    <w:p>
      <w:pPr>
        <w:numPr>
          <w:ilvl w:val="0"/>
          <w:numId w:val="8"/>
        </w:numPr>
        <w:spacing w:lineRule="auto"/>
      </w:pPr>
      <w:r>
        <w:rPr>
          <w:b/>
        </w:rPr>
        <w:t xml:space="preserve">Proof Points</w:t>
      </w:r>
      <w:r>
        <w:rPr>
          <w:rFonts w:eastAsia="Georgia" w:cs="Georgia" w:ascii="Georgia" w:hAnsi="Georgia"/>
        </w:rPr>
        <w:t xml:space="preserve">: 30% reduction in approval time, 15–20% increase in deal conversion for participating dealers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bm_2_company_overview_mission"/>
      <w:r>
        <w:rPr>
          <w:b/>
          <w:sz w:val="42"/>
        </w:rPr>
        <w:t xml:space="preserve">2. COMPANY OVERVIEW &amp; MISSION</w:t>
      </w:r>
      <w:bookmarkEnd w:id="16"/>
    </w:p>
    <w:p>
      <w:pPr>
        <w:spacing w:after="210" w:lineRule="auto"/>
      </w:pPr>
      <w:r>
        <w:rPr>
          <w:b/>
        </w:rPr>
        <w:t xml:space="preserve">Vision</w:t>
      </w:r>
      <w:r>
        <w:rPr>
          <w:rFonts w:eastAsia="Georgia" w:cs="Georgia" w:ascii="Georgia" w:hAnsi="Georgia"/>
        </w:rPr>
        <w:t xml:space="preserve">: Modernize agricultural equipment financing by creating the leading multi-lender, dealer-embedded financing infrastructure—a platform that brings together farmers, dealers, lenders, and OEMs into one seamless workflow.</w:t>
      </w:r>
    </w:p>
    <w:p>
      <w:pPr>
        <w:spacing w:after="210" w:lineRule="auto"/>
      </w:pPr>
      <w:r>
        <w:rPr>
          <w:b/>
        </w:rPr>
        <w:t xml:space="preserve">Mission</w:t>
      </w:r>
      <w:r>
        <w:rPr>
          <w:rFonts w:eastAsia="Georgia" w:cs="Georgia" w:ascii="Georgia" w:hAnsi="Georgia"/>
        </w:rPr>
        <w:t xml:space="preserve">: Enable every farmer—regardless of size, geography, or financial profile—to access competitive financing through a modern, intuitive, and equitable digital platform. We aim to remove longstanding barriers for rural borrowers while giving lenders higher-quality deal flow and offering dealers the tools they need to convert sales faster.</w:t>
      </w:r>
    </w:p>
    <w:p>
      <w:pPr>
        <w:spacing w:line="271" w:before="240" w:lineRule="auto"/>
      </w:pPr>
      <w:bookmarkStart w:id="17" w:name="operating_model"/>
      <w:r>
        <w:rPr>
          <w:b/>
          <w:sz w:val="33"/>
        </w:rPr>
        <w:t xml:space="preserve">Operating Model</w:t>
      </w:r>
      <w:bookmarkEnd w:id="17"/>
    </w:p>
    <w:p>
      <w:pPr>
        <w:spacing w:after="210" w:lineRule="auto"/>
      </w:pPr>
      <w:r>
        <w:rPr/>
        <w:t xml:space="preserve">We operate as a </w:t>
      </w:r>
      <w:r>
        <w:rPr>
          <w:b/>
        </w:rPr>
        <w:t xml:space="preserve">neutral technology intermediary</w:t>
      </w:r>
      <w:r>
        <w:rPr>
          <w:rFonts w:eastAsia="Georgia" w:cs="Georgia" w:ascii="Georgia" w:hAnsi="Georgia"/>
        </w:rPr>
        <w:t xml:space="preserve">—not a lender or broker. All underwriting, pricing, and approvals remain with lenders. Our platform provides:</w:t>
      </w:r>
    </w:p>
    <w:p>
      <w:pPr>
        <w:numPr>
          <w:ilvl w:val="0"/>
          <w:numId w:val="9"/>
        </w:numPr>
        <w:spacing w:lineRule="auto"/>
      </w:pPr>
      <w:r>
        <w:rPr/>
        <w:t xml:space="preserve">Dealer-embedded financing workflows</w:t>
      </w:r>
    </w:p>
    <w:p>
      <w:pPr>
        <w:numPr>
          <w:ilvl w:val="0"/>
          <w:numId w:val="9"/>
        </w:numPr>
        <w:spacing w:lineRule="auto"/>
      </w:pPr>
      <w:r>
        <w:rPr/>
        <w:t xml:space="preserve">Multi-lender submission and intelligent routing</w:t>
      </w:r>
    </w:p>
    <w:p>
      <w:pPr>
        <w:numPr>
          <w:ilvl w:val="0"/>
          <w:numId w:val="9"/>
        </w:numPr>
        <w:spacing w:lineRule="auto"/>
      </w:pPr>
      <w:r>
        <w:rPr/>
        <w:t xml:space="preserve">Borrower-friendly digital application experiences</w:t>
      </w:r>
    </w:p>
    <w:p>
      <w:pPr>
        <w:numPr>
          <w:ilvl w:val="0"/>
          <w:numId w:val="9"/>
        </w:numPr>
        <w:spacing w:lineRule="auto"/>
      </w:pPr>
      <w:r>
        <w:rPr/>
        <w:t xml:space="preserve">Automated document handling and compliance support</w:t>
      </w:r>
    </w:p>
    <w:p>
      <w:pPr>
        <w:numPr>
          <w:ilvl w:val="0"/>
          <w:numId w:val="9"/>
        </w:numPr>
        <w:spacing w:lineRule="auto"/>
      </w:pPr>
      <w:r>
        <w:rPr/>
        <w:t xml:space="preserve">Analytics for lenders and OEM partners</w:t>
      </w:r>
    </w:p>
    <w:p>
      <w:pPr>
        <w:spacing w:after="210" w:lineRule="auto"/>
      </w:pPr>
      <w:r>
        <w:rPr/>
        <w:t xml:space="preserve">This structure allows us to:</w:t>
      </w:r>
    </w:p>
    <w:p>
      <w:pPr>
        <w:numPr>
          <w:ilvl w:val="0"/>
          <w:numId w:val="10"/>
        </w:numPr>
        <w:spacing w:lineRule="auto"/>
      </w:pPr>
      <w:r>
        <w:rPr>
          <w:b/>
        </w:rPr>
        <w:t xml:space="preserve">Scale rapidly</w:t>
      </w:r>
      <w:r>
        <w:rPr/>
        <w:t xml:space="preserve"> without lending-license overhead</w:t>
      </w:r>
    </w:p>
    <w:p>
      <w:pPr>
        <w:numPr>
          <w:ilvl w:val="0"/>
          <w:numId w:val="10"/>
        </w:numPr>
        <w:spacing w:lineRule="auto"/>
      </w:pPr>
      <w:r>
        <w:rPr>
          <w:b/>
        </w:rPr>
        <w:t xml:space="preserve">Avoid regulatory burden</w:t>
      </w:r>
      <w:r>
        <w:rPr/>
        <w:t xml:space="preserve"> of direct lending</w:t>
      </w:r>
    </w:p>
    <w:p>
      <w:pPr>
        <w:numPr>
          <w:ilvl w:val="0"/>
          <w:numId w:val="10"/>
        </w:numPr>
        <w:spacing w:lineRule="auto"/>
      </w:pPr>
      <w:r>
        <w:rPr>
          <w:b/>
        </w:rPr>
        <w:t xml:space="preserve">Build a defensible data moat</w:t>
      </w:r>
      <w:r>
        <w:rPr/>
        <w:t xml:space="preserve"> over time</w:t>
      </w:r>
    </w:p>
    <w:p>
      <w:pPr>
        <w:numPr>
          <w:ilvl w:val="0"/>
          <w:numId w:val="10"/>
        </w:numPr>
        <w:spacing w:lineRule="auto"/>
      </w:pPr>
      <w:r>
        <w:rPr>
          <w:b/>
        </w:rPr>
        <w:t xml:space="preserve">Partner with all lender types</w:t>
      </w:r>
      <w:r>
        <w:rPr/>
        <w:t xml:space="preserve"> (no competitive conflicts)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bm_3_market_overview_macro_landscape"/>
      <w:r>
        <w:rPr>
          <w:b/>
          <w:sz w:val="42"/>
        </w:rPr>
        <w:t xml:space="preserve">3. MARKET OVERVIEW &amp; MACRO LANDSCAPE</w:t>
      </w:r>
      <w:bookmarkEnd w:id="18"/>
    </w:p>
    <w:p>
      <w:pPr>
        <w:spacing w:line="271" w:before="240" w:lineRule="auto"/>
      </w:pPr>
      <w:bookmarkStart w:id="19" w:name="market_size_structure"/>
      <w:r>
        <w:rPr>
          <w:b/>
          <w:sz w:val="33"/>
        </w:rPr>
        <w:t xml:space="preserve">Market Size &amp; Structure</w:t>
      </w:r>
      <w:bookmarkEnd w:id="19"/>
    </w:p>
    <w:p>
      <w:pPr>
        <w:spacing w:after="210" w:lineRule="auto"/>
      </w:pPr>
      <w:r>
        <w:rPr/>
        <w:t xml:space="preserve">The U.S. agricultural sector represents one of the largest asset-dependent industries, requiring continuous investment in machinery, equipment, and technology. Key facts:</w:t>
      </w:r>
    </w:p>
    <w:p>
      <w:pPr>
        <w:numPr>
          <w:ilvl w:val="0"/>
          <w:numId w:val="11"/>
        </w:numPr>
        <w:spacing w:lineRule="auto"/>
      </w:pPr>
      <w:r>
        <w:rPr>
          <w:b/>
        </w:rPr>
        <w:t xml:space="preserve">2.0+ million farms</w:t>
      </w:r>
      <w:r>
        <w:rPr/>
        <w:t xml:space="preserve"> in the United States; 89% classified as small family farms (USDA ERS)</w:t>
      </w:r>
    </w:p>
    <w:p>
      <w:pPr>
        <w:numPr>
          <w:ilvl w:val="0"/>
          <w:numId w:val="11"/>
        </w:numPr>
        <w:spacing w:lineRule="auto"/>
      </w:pPr>
      <w:r>
        <w:rPr>
          <w:b/>
        </w:rPr>
        <w:t xml:space="preserve">$74.5B global ag equipment finance market</w:t>
      </w:r>
      <w:r>
        <w:rPr/>
        <w:t xml:space="preserve"> (2024); $100B+ annual U.S. equipment purchases</w:t>
      </w:r>
    </w:p>
    <w:p>
      <w:pPr>
        <w:numPr>
          <w:ilvl w:val="0"/>
          <w:numId w:val="11"/>
        </w:numPr>
        <w:spacing w:lineRule="auto"/>
      </w:pPr>
      <w:r>
        <w:rPr>
          <w:b/>
        </w:rPr>
        <w:t xml:space="preserve">Equipment costs rising</w:t>
      </w:r>
      <w:r>
        <w:rPr/>
        <w:t xml:space="preserve">: Tractors +35%, combines +40% since 2015 (USDA NASS machinery price indices)</w:t>
      </w:r>
    </w:p>
    <w:p>
      <w:pPr>
        <w:numPr>
          <w:ilvl w:val="0"/>
          <w:numId w:val="11"/>
        </w:numPr>
        <w:spacing w:lineRule="auto"/>
      </w:pPr>
      <w:r>
        <w:rPr>
          <w:b/>
        </w:rPr>
        <w:t xml:space="preserve">Loan financing dominance</w:t>
      </w:r>
      <w:r>
        <w:rPr/>
        <w:t xml:space="preserve">: 44.1% of market transactions are loans (vs. leases or hire-purchase), reflecting small/mid-size farm preference for ownership[source:1]</w:t>
      </w:r>
    </w:p>
    <w:p>
      <w:pPr>
        <w:spacing w:line="271" w:before="240" w:lineRule="auto"/>
      </w:pPr>
      <w:bookmarkStart w:id="20" w:name="lender_landscape_evolution"/>
      <w:r>
        <w:rPr>
          <w:b/>
          <w:sz w:val="33"/>
        </w:rPr>
        <w:t xml:space="preserve">Lender Landscape Evolution</w:t>
      </w:r>
      <w:bookmarkEnd w:id="20"/>
    </w:p>
    <w:p>
      <w:pPr>
        <w:spacing w:after="210" w:lineRule="auto"/>
      </w:pPr>
      <w:r>
        <w:rPr>
          <w:b/>
        </w:rPr>
        <w:t xml:space="preserve">Community Bank Consolidation</w:t>
      </w:r>
    </w:p>
    <w:p>
      <w:pPr>
        <w:numPr>
          <w:ilvl w:val="0"/>
          <w:numId w:val="12"/>
        </w:numPr>
        <w:spacing w:lineRule="auto"/>
      </w:pPr>
      <w:r>
        <w:rPr/>
        <w:t xml:space="preserve">Historic primary financing source for small farms</w:t>
      </w:r>
    </w:p>
    <w:p>
      <w:pPr>
        <w:numPr>
          <w:ilvl w:val="0"/>
          <w:numId w:val="12"/>
        </w:numPr>
        <w:spacing w:lineRule="auto"/>
      </w:pPr>
      <w:r>
        <w:rPr/>
        <w:t xml:space="preserve">Declined in number due to mergers and branch closures</w:t>
      </w:r>
    </w:p>
    <w:p>
      <w:pPr>
        <w:numPr>
          <w:ilvl w:val="0"/>
          <w:numId w:val="12"/>
        </w:numPr>
        <w:spacing w:lineRule="auto"/>
      </w:pPr>
      <w:r>
        <w:rPr/>
        <w:t xml:space="preserve">Remaining banks often lack rural expertise and digital infrastructure</w:t>
      </w:r>
    </w:p>
    <w:p>
      <w:pPr>
        <w:spacing w:after="210" w:lineRule="auto"/>
      </w:pPr>
      <w:r>
        <w:rPr>
          <w:b/>
        </w:rPr>
        <w:t xml:space="preserve">Farm Credit System</w:t>
      </w:r>
    </w:p>
    <w:p>
      <w:pPr>
        <w:numPr>
          <w:ilvl w:val="0"/>
          <w:numId w:val="13"/>
        </w:numPr>
        <w:spacing w:lineRule="auto"/>
      </w:pPr>
      <w:r>
        <w:rPr/>
        <w:t xml:space="preserve">Dominant player in some regions; varies widely in digital capabilities</w:t>
      </w:r>
    </w:p>
    <w:p>
      <w:pPr>
        <w:numPr>
          <w:ilvl w:val="0"/>
          <w:numId w:val="13"/>
        </w:numPr>
        <w:spacing w:lineRule="auto"/>
      </w:pPr>
      <w:r>
        <w:rPr/>
        <w:t xml:space="preserve">No standardized, nationwide dealer-facing workflows</w:t>
      </w:r>
    </w:p>
    <w:p>
      <w:pPr>
        <w:numPr>
          <w:ilvl w:val="0"/>
          <w:numId w:val="13"/>
        </w:numPr>
        <w:spacing w:lineRule="auto"/>
      </w:pPr>
      <w:r>
        <w:rPr/>
        <w:t xml:space="preserve">Often cannot serve borrowers with thinner credit files or collateral challenges</w:t>
      </w:r>
    </w:p>
    <w:p>
      <w:pPr>
        <w:spacing w:after="210" w:lineRule="auto"/>
      </w:pPr>
      <w:r>
        <w:rPr>
          <w:b/>
        </w:rPr>
        <w:t xml:space="preserve">Captive Lenders</w:t>
      </w:r>
    </w:p>
    <w:p>
      <w:pPr>
        <w:numPr>
          <w:ilvl w:val="0"/>
          <w:numId w:val="14"/>
        </w:numPr>
        <w:spacing w:lineRule="auto"/>
      </w:pPr>
      <w:r>
        <w:rPr/>
        <w:t xml:space="preserve">John Deere Financial, CNH Capital, AGCO Finance dominate branded equipment</w:t>
      </w:r>
    </w:p>
    <w:p>
      <w:pPr>
        <w:numPr>
          <w:ilvl w:val="0"/>
          <w:numId w:val="14"/>
        </w:numPr>
        <w:spacing w:lineRule="auto"/>
      </w:pPr>
      <w:r>
        <w:rPr/>
        <w:t xml:space="preserve">Limited to OEM equipment; no flexibility for used, multi-brand, or off-brand purchases</w:t>
      </w:r>
    </w:p>
    <w:p>
      <w:pPr>
        <w:spacing w:line="271" w:before="240" w:lineRule="auto"/>
      </w:pPr>
      <w:bookmarkStart w:id="21" w:name="dealer_centric_market_structure"/>
      <w:r>
        <w:rPr>
          <w:b/>
          <w:sz w:val="33"/>
        </w:rPr>
        <w:t xml:space="preserve">Dealer-Centric Market Structure</w:t>
      </w:r>
      <w:bookmarkEnd w:id="21"/>
    </w:p>
    <w:p>
      <w:pPr>
        <w:numPr>
          <w:ilvl w:val="0"/>
          <w:numId w:val="15"/>
        </w:numPr>
        <w:spacing w:lineRule="auto"/>
      </w:pPr>
      <w:r>
        <w:rPr/>
        <w:t xml:space="preserve">Dealers originate </w:t>
      </w:r>
      <w:r>
        <w:rPr>
          <w:b/>
        </w:rPr>
        <w:t xml:space="preserve">over 70% of equipment financing</w:t>
      </w:r>
      <w:r>
        <w:rPr/>
        <w:t xml:space="preserve"> at point of sale</w:t>
      </w:r>
    </w:p>
    <w:p>
      <w:pPr>
        <w:numPr>
          <w:ilvl w:val="0"/>
          <w:numId w:val="15"/>
        </w:numPr>
        <w:spacing w:lineRule="auto"/>
      </w:pPr>
      <w:r>
        <w:rPr>
          <w:rFonts w:eastAsia="Georgia" w:cs="Georgia" w:ascii="Georgia" w:hAnsi="Georgia"/>
        </w:rPr>
        <w:t xml:space="preserve">Most dealers work with 5–15 lender relationships simultaneously</w:t>
      </w:r>
    </w:p>
    <w:p>
      <w:pPr>
        <w:numPr>
          <w:ilvl w:val="0"/>
          <w:numId w:val="15"/>
        </w:numPr>
        <w:spacing w:lineRule="auto"/>
      </w:pPr>
      <w:r>
        <w:rPr/>
        <w:t xml:space="preserve">No unified platform exists; dealers manually navigate multiple portals, re-entering data for each lender</w:t>
      </w:r>
    </w:p>
    <w:p>
      <w:pPr>
        <w:numPr>
          <w:ilvl w:val="0"/>
          <w:numId w:val="15"/>
        </w:numPr>
        <w:spacing w:lineRule="auto"/>
      </w:pPr>
      <w:r>
        <w:rPr/>
        <w:t xml:space="preserve">Industry benchmarks: approval times average </w:t>
      </w:r>
      <w:r>
        <w:rPr>
          <w:b/>
        </w:rPr>
        <w:t xml:space="preserve">3–7 days</w:t>
      </w:r>
      <w:r>
        <w:rPr>
          <w:rFonts w:eastAsia="Georgia" w:cs="Georgia" w:ascii="Georgia" w:hAnsi="Georgia"/>
        </w:rPr>
        <w:t xml:space="preserve"> (can extend to 10–14 days in peak seasons)[source:8]</w:t>
      </w:r>
    </w:p>
    <w:p>
      <w:pPr>
        <w:spacing w:line="271" w:before="240" w:lineRule="auto"/>
      </w:pPr>
      <w:bookmarkStart w:id="22" w:name="macro_drivers_supporting_modernization"/>
      <w:r>
        <w:rPr>
          <w:b/>
          <w:sz w:val="33"/>
        </w:rPr>
        <w:t xml:space="preserve">Macro Drivers Supporting Modernization</w:t>
      </w:r>
      <w:bookmarkEnd w:id="22"/>
    </w:p>
    <w:p>
      <w:pPr>
        <w:spacing w:after="210" w:lineRule="auto"/>
      </w:pPr>
      <w:r>
        <w:rPr>
          <w:rFonts w:eastAsia="Georgia" w:cs="Georgia" w:ascii="Georgia" w:hAnsi="Georgia"/>
        </w:rPr>
        <w:t xml:space="preserve">✓ Rising equipment prices and farm input costs</w:t>
      </w:r>
      <w:r>
        <w:rPr/>
        <w:br w:type="textWrapping"/>
      </w:r>
      <w:r>
        <w:rPr>
          <w:rFonts w:eastAsia="Georgia" w:cs="Georgia" w:ascii="Georgia" w:hAnsi="Georgia"/>
        </w:rPr>
        <w:t xml:space="preserve">✓ Higher interest rates affecting capital structure (5–7% rates incentivize refinancing)</w:t>
      </w:r>
      <w:r>
        <w:rPr/>
        <w:br w:type="textWrapping"/>
      </w:r>
      <w:r>
        <w:rPr>
          <w:rFonts w:eastAsia="Georgia" w:cs="Georgia" w:ascii="Georgia" w:hAnsi="Georgia"/>
        </w:rPr>
        <w:t xml:space="preserve">✓ Aging farmer demographics demanding simpler, digital workflows</w:t>
      </w:r>
      <w:r>
        <w:rPr/>
        <w:br w:type="textWrapping"/>
      </w:r>
      <w:r>
        <w:rPr>
          <w:rFonts w:eastAsia="Georgia" w:cs="Georgia" w:ascii="Georgia" w:hAnsi="Georgia"/>
        </w:rPr>
        <w:t xml:space="preserve">✓ Post-pandemic dealer and lender digitization</w:t>
      </w:r>
      <w:r>
        <w:rPr/>
        <w:br w:type="textWrapping"/>
      </w:r>
      <w:r>
        <w:rPr>
          <w:rFonts w:eastAsia="Georgia" w:cs="Georgia" w:ascii="Georgia" w:hAnsi="Georgia"/>
        </w:rPr>
        <w:t xml:space="preserve">✓ Federal rural-development initiatives (broadband, capital access)</w:t>
      </w:r>
      <w:r>
        <w:rPr/>
        <w:br w:type="textWrapping"/>
      </w:r>
      <w:r>
        <w:rPr>
          <w:rFonts w:eastAsia="Georgia" w:cs="Georgia" w:ascii="Georgia" w:hAnsi="Georgia"/>
        </w:rPr>
        <w:t xml:space="preserve">✓ OEM push for dealer network modernization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bm_4_farmer_pain_points_data_backed"/>
      <w:r>
        <w:rPr>
          <w:b/>
          <w:sz w:val="42"/>
        </w:rPr>
        <w:t xml:space="preserve">4. FARMER PAIN POINTS (Data-Backed)</w:t>
      </w:r>
      <w:bookmarkEnd w:id="23"/>
    </w:p>
    <w:p>
      <w:pPr>
        <w:spacing w:after="210" w:lineRule="auto"/>
      </w:pPr>
      <w:r>
        <w:rPr/>
        <w:t xml:space="preserve">Small and mid-sized farmers face deep structural barriers in accessing timely, affordable equipment financing, documented across USDA ARMS datasets, ERS farm-structure reports, and Federal Reserve ag-credit conditions.</w:t>
      </w:r>
    </w:p>
    <w:p>
      <w:pPr>
        <w:spacing w:line="271" w:before="240" w:lineRule="auto"/>
      </w:pPr>
      <w:bookmarkStart w:id="24" w:name="bm_1_limited_access_to_competitiv_8dff42"/>
      <w:r>
        <w:rPr>
          <w:b/>
          <w:sz w:val="33"/>
        </w:rPr>
        <w:t xml:space="preserve">1. Limited Access to Competitive Credit</w:t>
      </w:r>
      <w:bookmarkEnd w:id="24"/>
    </w:p>
    <w:p>
      <w:pPr>
        <w:spacing w:after="210" w:lineRule="auto"/>
      </w:pPr>
      <w:r>
        <w:rPr/>
        <w:t xml:space="preserve">Small farms account for 89% of U.S. farms yet receive a disproportionately small share of approved traditional credit. Many rely on:</w:t>
      </w:r>
    </w:p>
    <w:p>
      <w:pPr>
        <w:numPr>
          <w:ilvl w:val="0"/>
          <w:numId w:val="16"/>
        </w:numPr>
        <w:spacing w:lineRule="auto"/>
      </w:pPr>
      <w:r>
        <w:rPr/>
        <w:t xml:space="preserve">A single community bank</w:t>
      </w:r>
    </w:p>
    <w:p>
      <w:pPr>
        <w:numPr>
          <w:ilvl w:val="0"/>
          <w:numId w:val="16"/>
        </w:numPr>
        <w:spacing w:lineRule="auto"/>
      </w:pPr>
      <w:r>
        <w:rPr/>
        <w:t xml:space="preserve">A local Farm Credit branch</w:t>
      </w:r>
    </w:p>
    <w:p>
      <w:pPr>
        <w:numPr>
          <w:ilvl w:val="0"/>
          <w:numId w:val="16"/>
        </w:numPr>
        <w:spacing w:lineRule="auto"/>
      </w:pPr>
      <w:r>
        <w:rPr/>
        <w:t xml:space="preserve">One captive lender offered by a dealer</w:t>
      </w:r>
    </w:p>
    <w:p>
      <w:pPr>
        <w:spacing w:after="210" w:lineRule="auto"/>
      </w:pPr>
      <w:r>
        <w:rPr>
          <w:b/>
        </w:rPr>
        <w:t xml:space="preserve">Impact</w:t>
      </w:r>
      <w:r>
        <w:rPr/>
        <w:t xml:space="preserve">: Higher rates, lower approval odds, reduced negotiating power</w:t>
      </w:r>
    </w:p>
    <w:p>
      <w:pPr>
        <w:spacing w:line="271" w:before="240" w:lineRule="auto"/>
      </w:pPr>
      <w:bookmarkStart w:id="25" w:name="bm_2_slow_time_to_approval"/>
      <w:r>
        <w:rPr>
          <w:b/>
          <w:sz w:val="33"/>
        </w:rPr>
        <w:t xml:space="preserve">2. Slow Time-to-Approval</w:t>
      </w:r>
      <w:bookmarkEnd w:id="25"/>
    </w:p>
    <w:p>
      <w:pPr>
        <w:spacing w:after="210" w:lineRule="auto"/>
      </w:pPr>
      <w:r>
        <w:rPr>
          <w:rFonts w:eastAsia="Georgia" w:cs="Georgia" w:ascii="Georgia" w:hAnsi="Georgia"/>
        </w:rPr>
        <w:t xml:space="preserve">USDA and lender reports indicate approval times often span 3–7 days, extending to 10–14+ days in peak seasons. Equipment needs are frequently urgent—e.g., breakdowns during planting/harvest—making delays operationally costly.</w:t>
      </w:r>
    </w:p>
    <w:p>
      <w:pPr>
        <w:spacing w:after="210" w:lineRule="auto"/>
      </w:pPr>
      <w:r>
        <w:rPr>
          <w:b/>
        </w:rPr>
        <w:t xml:space="preserve">Real Cost</w:t>
      </w:r>
      <w:r>
        <w:rPr/>
        <w:t xml:space="preserve">: Missed planting windows, delayed repairs, lost productivity = significant financial impact on farm operations</w:t>
      </w:r>
    </w:p>
    <w:p>
      <w:pPr>
        <w:spacing w:line="271" w:before="240" w:lineRule="auto"/>
      </w:pPr>
      <w:bookmarkStart w:id="26" w:name="bm_3_documentation_workflow_friction"/>
      <w:r>
        <w:rPr>
          <w:b/>
          <w:sz w:val="33"/>
        </w:rPr>
        <w:t xml:space="preserve">3. Documentation &amp; Workflow Friction</w:t>
      </w:r>
      <w:bookmarkEnd w:id="26"/>
    </w:p>
    <w:p>
      <w:pPr>
        <w:spacing w:after="210" w:lineRule="auto"/>
      </w:pPr>
      <w:r>
        <w:rPr/>
        <w:t xml:space="preserve">Farmers face repeated requests for documents, tax records, and financial statements. Dealers must re-enter data into multiple lender portals, causing errors and inconsistency.</w:t>
      </w:r>
    </w:p>
    <w:p>
      <w:pPr>
        <w:spacing w:after="210" w:lineRule="auto"/>
      </w:pPr>
      <w:r>
        <w:rPr>
          <w:b/>
        </w:rPr>
        <w:t xml:space="preserve">Farmer Experience</w:t>
      </w:r>
      <w:r>
        <w:rPr/>
        <w:t xml:space="preserve">: "I had to provide the same documents to three different lenders, and still got asked for more information by the second lender."</w:t>
      </w:r>
    </w:p>
    <w:p>
      <w:pPr>
        <w:spacing w:line="271" w:before="240" w:lineRule="auto"/>
      </w:pPr>
      <w:bookmarkStart w:id="27" w:name="bm_4_rural_inequity_digital_limitations"/>
      <w:r>
        <w:rPr>
          <w:b/>
          <w:sz w:val="33"/>
        </w:rPr>
        <w:t xml:space="preserve">4. Rural Inequity &amp; Digital Limitations</w:t>
      </w:r>
      <w:bookmarkEnd w:id="27"/>
    </w:p>
    <w:p>
      <w:pPr>
        <w:spacing w:after="210" w:lineRule="auto"/>
      </w:pPr>
      <w:r>
        <w:rPr/>
        <w:t xml:space="preserve">Many rural regions have limited broadband access, restricting digital application capabilities. Smaller farms often have thinner credit files or variable income patterns, increasing lender hesitation.</w:t>
      </w:r>
    </w:p>
    <w:p>
      <w:pPr>
        <w:spacing w:after="210" w:lineRule="auto"/>
      </w:pPr>
      <w:r>
        <w:rPr>
          <w:b/>
        </w:rPr>
        <w:t xml:space="preserve">Result</w:t>
      </w:r>
      <w:r>
        <w:rPr/>
        <w:t xml:space="preserve">: Structural disadvantage for farms that need financing most</w:t>
      </w:r>
    </w:p>
    <w:p>
      <w:pPr>
        <w:spacing w:line="271" w:before="240" w:lineRule="auto"/>
      </w:pPr>
      <w:bookmarkStart w:id="28" w:name="bm_5_lack_of_transparency_choice"/>
      <w:r>
        <w:rPr>
          <w:b/>
          <w:sz w:val="33"/>
        </w:rPr>
        <w:t xml:space="preserve">5. Lack of Transparency &amp; Choice</w:t>
      </w:r>
      <w:bookmarkEnd w:id="28"/>
    </w:p>
    <w:p>
      <w:pPr>
        <w:spacing w:after="210" w:lineRule="auto"/>
      </w:pPr>
      <w:r>
        <w:rPr/>
        <w:t xml:space="preserve">Farmers often do not know whether they are receiving the best available rate or terms. Without access to multiple lenders simultaneously, they may accept suboptimal financing simply to secure equipment quickly.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bm_5_system_inefficiencies_workfl_1a7021"/>
      <w:r>
        <w:rPr>
          <w:b/>
          <w:sz w:val="42"/>
        </w:rPr>
        <w:t xml:space="preserve">5. SYSTEM INEFFICIENCIES (Workflow + Macro Frictions)</w:t>
      </w:r>
      <w:bookmarkEnd w:id="29"/>
    </w:p>
    <w:p>
      <w:pPr>
        <w:spacing w:after="210" w:lineRule="auto"/>
      </w:pPr>
      <w:r>
        <w:rPr/>
        <w:t xml:space="preserve">Despite the size and importance of the agricultural equipment financing market, the workflow connecting farmers, dealers, lenders, and OEMs remains fragmented, manual, and inefficient.</w:t>
      </w:r>
    </w:p>
    <w:p>
      <w:pPr>
        <w:spacing w:line="271" w:before="240" w:lineRule="auto"/>
      </w:pPr>
      <w:bookmarkStart w:id="30" w:name="bm_1_dealer_workflow_fragmentation"/>
      <w:r>
        <w:rPr>
          <w:b/>
          <w:sz w:val="33"/>
        </w:rPr>
        <w:t xml:space="preserve">1. Dealer Workflow Fragmentation</w:t>
      </w:r>
      <w:bookmarkEnd w:id="30"/>
    </w:p>
    <w:p>
      <w:pPr>
        <w:spacing w:after="210" w:lineRule="auto"/>
      </w:pPr>
      <w:r>
        <w:rPr/>
        <w:t xml:space="preserve">Dealers must manually navigate multiple lender portals, each with different forms, required fields, and submission workflows. Common issues:</w:t>
      </w:r>
    </w:p>
    <w:p>
      <w:pPr>
        <w:numPr>
          <w:ilvl w:val="0"/>
          <w:numId w:val="17"/>
        </w:numPr>
        <w:spacing w:lineRule="auto"/>
      </w:pPr>
      <w:r>
        <w:rPr>
          <w:rFonts w:eastAsia="Georgia" w:cs="Georgia" w:ascii="Georgia" w:hAnsi="Georgia"/>
        </w:rPr>
        <w:t xml:space="preserve">Re-entering customer and equipment data 5–15 times</w:t>
      </w:r>
    </w:p>
    <w:p>
      <w:pPr>
        <w:numPr>
          <w:ilvl w:val="0"/>
          <w:numId w:val="17"/>
        </w:numPr>
        <w:spacing w:lineRule="auto"/>
      </w:pPr>
      <w:r>
        <w:rPr/>
        <w:t xml:space="preserve">Tracking document requests across email, PDFs, and text messages</w:t>
      </w:r>
    </w:p>
    <w:p>
      <w:pPr>
        <w:numPr>
          <w:ilvl w:val="0"/>
          <w:numId w:val="17"/>
        </w:numPr>
        <w:spacing w:lineRule="auto"/>
      </w:pPr>
      <w:r>
        <w:rPr/>
        <w:t xml:space="preserve">High error rate due to inconsistent data entry</w:t>
      </w:r>
    </w:p>
    <w:p>
      <w:pPr>
        <w:numPr>
          <w:ilvl w:val="0"/>
          <w:numId w:val="17"/>
        </w:numPr>
        <w:spacing w:lineRule="auto"/>
      </w:pPr>
      <w:r>
        <w:rPr/>
        <w:t xml:space="preserve">No centralized view of application status across lenders</w:t>
      </w:r>
    </w:p>
    <w:p>
      <w:pPr>
        <w:numPr>
          <w:ilvl w:val="0"/>
          <w:numId w:val="17"/>
        </w:numPr>
        <w:spacing w:lineRule="auto"/>
      </w:pPr>
      <w:r>
        <w:rPr/>
        <w:t xml:space="preserve">Manual follow-up and chase cycles</w:t>
      </w:r>
    </w:p>
    <w:p>
      <w:pPr>
        <w:spacing w:after="210" w:lineRule="auto"/>
      </w:pPr>
      <w:r>
        <w:rPr>
          <w:b/>
        </w:rPr>
        <w:t xml:space="preserve">Quantified Impact</w:t>
      </w:r>
      <w:r>
        <w:rPr>
          <w:rFonts w:eastAsia="Georgia" w:cs="Georgia" w:ascii="Georgia" w:hAnsi="Georgia"/>
        </w:rPr>
        <w:t xml:space="preserve">: ~45 minutes administrative time per deal; 15–20% deal abandonment due to slow approvals</w:t>
      </w:r>
    </w:p>
    <w:p>
      <w:pPr>
        <w:spacing w:line="271" w:before="240" w:lineRule="auto"/>
      </w:pPr>
      <w:bookmarkStart w:id="31" w:name="bm_2_lender_fragmentation_inconsi_37f20d"/>
      <w:r>
        <w:rPr>
          <w:b/>
          <w:sz w:val="33"/>
        </w:rPr>
        <w:t xml:space="preserve">2. Lender Fragmentation &amp; Inconsistent Data Quality</w:t>
      </w:r>
      <w:bookmarkEnd w:id="31"/>
    </w:p>
    <w:p>
      <w:pPr>
        <w:spacing w:after="210" w:lineRule="auto"/>
      </w:pPr>
      <w:r>
        <w:rPr>
          <w:rFonts w:eastAsia="Georgia" w:cs="Georgia" w:ascii="Georgia" w:hAnsi="Georgia"/>
        </w:rPr>
        <w:t xml:space="preserve">Lenders receive applications in varying formats—PDFs, handwritten forms, partial spreadsheets—leading to delays and follow-up requests. Underwriters often spend hours chasing missing information, increasing processing costs.</w:t>
      </w:r>
    </w:p>
    <w:p>
      <w:pPr>
        <w:spacing w:after="210" w:lineRule="auto"/>
      </w:pPr>
      <w:r>
        <w:rPr>
          <w:b/>
        </w:rPr>
        <w:t xml:space="preserve">Processing Cost</w:t>
      </w:r>
      <w:r>
        <w:rPr>
          <w:rFonts w:eastAsia="Georgia" w:cs="Georgia" w:ascii="Georgia" w:hAnsi="Georgia"/>
        </w:rPr>
        <w:t xml:space="preserve">: ~$200–300 per incomplete application in rework costs</w:t>
      </w:r>
    </w:p>
    <w:p>
      <w:pPr>
        <w:spacing w:line="271" w:before="240" w:lineRule="auto"/>
      </w:pPr>
      <w:bookmarkStart w:id="32" w:name="bm_3_multi_day_approval_times"/>
      <w:r>
        <w:rPr>
          <w:b/>
          <w:sz w:val="33"/>
        </w:rPr>
        <w:t xml:space="preserve">3. Multi-Day Approval Times</w:t>
      </w:r>
      <w:bookmarkEnd w:id="32"/>
    </w:p>
    <w:p>
      <w:pPr>
        <w:spacing w:after="210" w:lineRule="auto"/>
      </w:pPr>
      <w:r>
        <w:rPr/>
        <w:t xml:space="preserve">Industry benchmarks show:</w:t>
      </w:r>
    </w:p>
    <w:p>
      <w:pPr>
        <w:numPr>
          <w:ilvl w:val="0"/>
          <w:numId w:val="18"/>
        </w:numPr>
        <w:spacing w:lineRule="auto"/>
      </w:pPr>
      <w:r>
        <w:rPr>
          <w:rFonts w:eastAsia="Georgia" w:cs="Georgia" w:ascii="Georgia" w:hAnsi="Georgia"/>
        </w:rPr>
        <w:t xml:space="preserve">Standard approvals: 3–7 days</w:t>
      </w:r>
    </w:p>
    <w:p>
      <w:pPr>
        <w:numPr>
          <w:ilvl w:val="0"/>
          <w:numId w:val="18"/>
        </w:numPr>
        <w:spacing w:lineRule="auto"/>
      </w:pPr>
      <w:r>
        <w:rPr>
          <w:rFonts w:eastAsia="Georgia" w:cs="Georgia" w:ascii="Georgia" w:hAnsi="Georgia"/>
        </w:rPr>
        <w:t xml:space="preserve">Peak-season approvals: 7–14 days</w:t>
      </w:r>
    </w:p>
    <w:p>
      <w:pPr>
        <w:numPr>
          <w:ilvl w:val="0"/>
          <w:numId w:val="18"/>
        </w:numPr>
        <w:spacing w:lineRule="auto"/>
      </w:pPr>
      <w:r>
        <w:rPr/>
        <w:t xml:space="preserve">Manual underwriting queues cause unpredictable delays</w:t>
      </w:r>
    </w:p>
    <w:p>
      <w:pPr>
        <w:spacing w:after="210" w:lineRule="auto"/>
      </w:pPr>
      <w:r>
        <w:rPr/>
        <w:t xml:space="preserve">In a seasonal industry, slow approvals have significant operational and financial impacts on farmers.</w:t>
      </w:r>
    </w:p>
    <w:p>
      <w:pPr>
        <w:spacing w:line="271" w:before="240" w:lineRule="auto"/>
      </w:pPr>
      <w:bookmarkStart w:id="33" w:name="bm_4_lack_of_data_standardization_962283"/>
      <w:r>
        <w:rPr>
          <w:b/>
          <w:sz w:val="33"/>
        </w:rPr>
        <w:t xml:space="preserve">4. Lack of Data Standardization Across Lenders</w:t>
      </w:r>
      <w:bookmarkEnd w:id="33"/>
    </w:p>
    <w:p>
      <w:pPr>
        <w:spacing w:after="210" w:lineRule="auto"/>
      </w:pPr>
      <w:r>
        <w:rPr>
          <w:rFonts w:eastAsia="Georgia" w:cs="Georgia" w:ascii="Georgia" w:hAnsi="Georgia"/>
        </w:rPr>
        <w:t xml:space="preserve">Each lender requires different data fields—tax returns, financial ratios, equipment specifics—which forces dealers to guess what is needed. Results in:</w:t>
      </w:r>
    </w:p>
    <w:p>
      <w:pPr>
        <w:numPr>
          <w:ilvl w:val="0"/>
          <w:numId w:val="19"/>
        </w:numPr>
        <w:spacing w:lineRule="auto"/>
      </w:pPr>
      <w:r>
        <w:rPr/>
        <w:t xml:space="preserve">More incomplete submissions (68% of delays due to missing info)[source:8]</w:t>
      </w:r>
    </w:p>
    <w:p>
      <w:pPr>
        <w:numPr>
          <w:ilvl w:val="0"/>
          <w:numId w:val="19"/>
        </w:numPr>
        <w:spacing w:lineRule="auto"/>
      </w:pPr>
      <w:r>
        <w:rPr/>
        <w:t xml:space="preserve">Higher underwriting time</w:t>
      </w:r>
    </w:p>
    <w:p>
      <w:pPr>
        <w:numPr>
          <w:ilvl w:val="0"/>
          <w:numId w:val="19"/>
        </w:numPr>
        <w:spacing w:lineRule="auto"/>
      </w:pPr>
      <w:r>
        <w:rPr/>
        <w:t xml:space="preserve">Lower approval conversions</w:t>
      </w:r>
    </w:p>
    <w:p>
      <w:pPr>
        <w:spacing w:line="271" w:before="240" w:lineRule="auto"/>
      </w:pPr>
      <w:bookmarkStart w:id="34" w:name="bm_5_no_intelligent_routing_infra_19180c"/>
      <w:r>
        <w:rPr>
          <w:b/>
          <w:sz w:val="33"/>
        </w:rPr>
        <w:t xml:space="preserve">5. No Intelligent Routing Infrastructure</w:t>
      </w:r>
      <w:bookmarkEnd w:id="34"/>
    </w:p>
    <w:p>
      <w:pPr>
        <w:spacing w:after="210" w:lineRule="auto"/>
      </w:pPr>
      <w:r>
        <w:rPr>
          <w:rFonts w:eastAsia="Georgia" w:cs="Georgia" w:ascii="Georgia" w:hAnsi="Georgia"/>
        </w:rPr>
        <w:t xml:space="preserve">Today's routing is based on dealer familiarity—not borrower fit. Results in:</w:t>
      </w:r>
    </w:p>
    <w:p>
      <w:pPr>
        <w:numPr>
          <w:ilvl w:val="0"/>
          <w:numId w:val="20"/>
        </w:numPr>
        <w:spacing w:lineRule="auto"/>
      </w:pPr>
      <w:r>
        <w:rPr/>
        <w:t xml:space="preserve">Good borrowers submitted to the wrong lender first</w:t>
      </w:r>
    </w:p>
    <w:p>
      <w:pPr>
        <w:numPr>
          <w:ilvl w:val="0"/>
          <w:numId w:val="20"/>
        </w:numPr>
        <w:spacing w:lineRule="auto"/>
      </w:pPr>
      <w:r>
        <w:rPr/>
        <w:t xml:space="preserve">Increased decline rates</w:t>
      </w:r>
    </w:p>
    <w:p>
      <w:pPr>
        <w:numPr>
          <w:ilvl w:val="0"/>
          <w:numId w:val="20"/>
        </w:numPr>
        <w:spacing w:lineRule="auto"/>
      </w:pPr>
      <w:r>
        <w:rPr/>
        <w:t xml:space="preserve">Reduced competition among lenders</w:t>
      </w:r>
    </w:p>
    <w:p>
      <w:pPr>
        <w:numPr>
          <w:ilvl w:val="0"/>
          <w:numId w:val="20"/>
        </w:numPr>
        <w:spacing w:lineRule="auto"/>
      </w:pPr>
      <w:r>
        <w:rPr/>
        <w:t xml:space="preserve">Lower odds of small farms getting fair terms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bm_6_customer_segmentation"/>
      <w:r>
        <w:rPr>
          <w:b/>
          <w:sz w:val="42"/>
        </w:rPr>
        <w:t xml:space="preserve">6. CUSTOMER SEGMENTATION</w:t>
      </w:r>
      <w:bookmarkEnd w:id="35"/>
    </w:p>
    <w:p>
      <w:pPr>
        <w:spacing w:after="210" w:lineRule="auto"/>
      </w:pPr>
      <w:r>
        <w:rPr/>
        <w:t xml:space="preserve">Customers participating in agricultural equipment financing represent a diverse ecosystem with distinct pain points, incentives, and decision-making roles.</w:t>
      </w:r>
    </w:p>
    <w:p>
      <w:pPr>
        <w:spacing w:line="271" w:before="240" w:lineRule="auto"/>
      </w:pPr>
      <w:bookmarkStart w:id="36" w:name="bm_1_farmers_borrowers"/>
      <w:r>
        <w:rPr>
          <w:b/>
          <w:sz w:val="33"/>
        </w:rPr>
        <w:t xml:space="preserve">1. Farmers (Borrowers)</w:t>
      </w:r>
      <w:bookmarkEnd w:id="36"/>
    </w:p>
    <w:p>
      <w:pPr>
        <w:spacing w:after="210" w:lineRule="auto"/>
      </w:pPr>
      <w:r>
        <w:rPr>
          <w:b/>
        </w:rPr>
        <w:t xml:space="preserve">Segmentation by Farm Size:</w:t>
      </w:r>
    </w:p>
    <w:p>
      <w:pPr>
        <w:numPr>
          <w:ilvl w:val="0"/>
          <w:numId w:val="21"/>
        </w:numPr>
        <w:spacing w:lineRule="auto"/>
      </w:pPr>
      <w:r>
        <w:rPr>
          <w:b/>
        </w:rPr>
        <w:t xml:space="preserve">Small farms</w:t>
      </w:r>
      <w:r>
        <w:rPr/>
        <w:t xml:space="preserve"> (&lt;$350K revenue): Highly rate-sensitive, credit-constrained, underserved. Primary pain: lack of competitive options</w:t>
      </w:r>
    </w:p>
    <w:p>
      <w:pPr>
        <w:numPr>
          <w:ilvl w:val="0"/>
          <w:numId w:val="21"/>
        </w:numPr>
        <w:spacing w:lineRule="auto"/>
      </w:pPr>
      <w:r>
        <w:rPr>
          <w:b/>
        </w:rPr>
        <w:t xml:space="preserve">Mid-size farms</w:t>
      </w:r>
      <w:r>
        <w:rPr>
          <w:rFonts w:eastAsia="Georgia" w:cs="Georgia" w:ascii="Georgia" w:hAnsi="Georgia"/>
        </w:rPr>
        <w:t xml:space="preserve"> ($350K–$1M): More bankable; still affected by slow lender processes. Primary pain: approval speed and transparency</w:t>
      </w:r>
    </w:p>
    <w:p>
      <w:pPr>
        <w:numPr>
          <w:ilvl w:val="0"/>
          <w:numId w:val="21"/>
        </w:numPr>
        <w:spacing w:lineRule="auto"/>
      </w:pPr>
      <w:r>
        <w:rPr>
          <w:b/>
        </w:rPr>
        <w:t xml:space="preserve">Large farms</w:t>
      </w:r>
      <w:r>
        <w:rPr/>
        <w:t xml:space="preserve"> (&gt;$1M): Sophisticated operators with established lender relationships. Primary pain: limited portfolio diversification</w:t>
      </w:r>
    </w:p>
    <w:p>
      <w:pPr>
        <w:spacing w:after="210" w:lineRule="auto"/>
      </w:pPr>
      <w:r>
        <w:rPr>
          <w:b/>
        </w:rPr>
        <w:t xml:space="preserve">Segmentation by Geography:</w:t>
      </w:r>
    </w:p>
    <w:p>
      <w:pPr>
        <w:numPr>
          <w:ilvl w:val="0"/>
          <w:numId w:val="22"/>
        </w:numPr>
        <w:spacing w:lineRule="auto"/>
      </w:pPr>
      <w:r>
        <w:rPr/>
        <w:t xml:space="preserve">Rural regions with limited lender branches face longest approval delays</w:t>
      </w:r>
    </w:p>
    <w:p>
      <w:pPr>
        <w:numPr>
          <w:ilvl w:val="0"/>
          <w:numId w:val="22"/>
        </w:numPr>
        <w:spacing w:lineRule="auto"/>
      </w:pPr>
      <w:r>
        <w:rPr/>
        <w:t xml:space="preserve">Broadband limitations reduce digital access for many small farmers</w:t>
      </w:r>
    </w:p>
    <w:p>
      <w:pPr>
        <w:spacing w:after="210" w:lineRule="auto"/>
      </w:pPr>
      <w:r>
        <w:rPr>
          <w:b/>
        </w:rPr>
        <w:t xml:space="preserve">Primary Farmer Needs:</w:t>
      </w:r>
      <w:r>
        <w:rPr/>
        <w:br w:type="textWrapping"/>
      </w:r>
      <w:r>
        <w:rPr>
          <w:rFonts w:eastAsia="Georgia" w:cs="Georgia" w:ascii="Georgia" w:hAnsi="Georgia"/>
        </w:rPr>
        <w:t xml:space="preserve">✓ Faster approvals</w:t>
      </w:r>
      <w:r>
        <w:rPr/>
        <w:br w:type="textWrapping"/>
      </w:r>
      <w:r>
        <w:rPr>
          <w:rFonts w:eastAsia="Georgia" w:cs="Georgia" w:ascii="Georgia" w:hAnsi="Georgia"/>
        </w:rPr>
        <w:t xml:space="preserve">✓ Transparent lender options and rate comparison</w:t>
      </w:r>
      <w:r>
        <w:rPr/>
        <w:br w:type="textWrapping"/>
      </w:r>
      <w:r>
        <w:rPr>
          <w:rFonts w:eastAsia="Georgia" w:cs="Georgia" w:ascii="Georgia" w:hAnsi="Georgia"/>
        </w:rPr>
        <w:t xml:space="preserve">✓ Reduced document burden</w:t>
      </w:r>
      <w:r>
        <w:rPr/>
        <w:br w:type="textWrapping"/>
      </w:r>
      <w:r>
        <w:rPr>
          <w:rFonts w:eastAsia="Georgia" w:cs="Georgia" w:ascii="Georgia" w:hAnsi="Georgia"/>
        </w:rPr>
        <w:t xml:space="preserve">✓ Fairer access to competitive rates</w:t>
      </w:r>
    </w:p>
    <w:p>
      <w:pPr>
        <w:spacing w:line="271" w:before="240" w:lineRule="auto"/>
      </w:pPr>
      <w:bookmarkStart w:id="37" w:name="bm_2_equipment_dealers_primary_channel"/>
      <w:r>
        <w:rPr>
          <w:b/>
          <w:sz w:val="33"/>
        </w:rPr>
        <w:t xml:space="preserve">2. Equipment Dealers (Primary Channel)</w:t>
      </w:r>
      <w:bookmarkEnd w:id="37"/>
    </w:p>
    <w:p>
      <w:pPr>
        <w:spacing w:after="210" w:lineRule="auto"/>
      </w:pPr>
      <w:r>
        <w:rPr/>
        <w:t xml:space="preserve">Dealers originate over 70% of equipment financing at point of sale.</w:t>
      </w:r>
    </w:p>
    <w:p>
      <w:pPr>
        <w:spacing w:after="210" w:lineRule="auto"/>
      </w:pPr>
      <w:r>
        <w:rPr>
          <w:b/>
        </w:rPr>
        <w:t xml:space="preserve">Dealer Segmentation:</w:t>
      </w:r>
    </w:p>
    <w:p>
      <w:pPr>
        <w:numPr>
          <w:ilvl w:val="0"/>
          <w:numId w:val="23"/>
        </w:numPr>
        <w:spacing w:lineRule="auto"/>
      </w:pPr>
      <w:r>
        <w:rPr>
          <w:b/>
        </w:rPr>
        <w:t xml:space="preserve">Multi-location dealer groups</w:t>
      </w:r>
      <w:r>
        <w:rPr>
          <w:rFonts w:eastAsia="Georgia" w:cs="Georgia" w:ascii="Georgia" w:hAnsi="Georgia"/>
        </w:rPr>
        <w:t xml:space="preserve"> (10–50+ stores): High volume, formal processes, OEM aligned</w:t>
      </w:r>
    </w:p>
    <w:p>
      <w:pPr>
        <w:numPr>
          <w:ilvl w:val="0"/>
          <w:numId w:val="23"/>
        </w:numPr>
        <w:spacing w:lineRule="auto"/>
      </w:pPr>
      <w:r>
        <w:rPr>
          <w:b/>
        </w:rPr>
        <w:t xml:space="preserve">Independent dealers</w:t>
      </w:r>
      <w:r>
        <w:rPr>
          <w:rFonts w:eastAsia="Georgia" w:cs="Georgia" w:ascii="Georgia" w:hAnsi="Georgia"/>
        </w:rPr>
        <w:t xml:space="preserve"> (1–3 stores): Large share of rural customers, limited digital infrastructure</w:t>
      </w:r>
    </w:p>
    <w:p>
      <w:pPr>
        <w:numPr>
          <w:ilvl w:val="0"/>
          <w:numId w:val="23"/>
        </w:numPr>
        <w:spacing w:lineRule="auto"/>
      </w:pPr>
      <w:r>
        <w:rPr>
          <w:b/>
        </w:rPr>
        <w:t xml:space="preserve">Used/specialty dealers</w:t>
      </w:r>
      <w:r>
        <w:rPr/>
        <w:t xml:space="preserve">: High financing friction, fragmented lender access</w:t>
      </w:r>
    </w:p>
    <w:p>
      <w:pPr>
        <w:spacing w:after="210" w:lineRule="auto"/>
      </w:pPr>
      <w:r>
        <w:rPr>
          <w:b/>
        </w:rPr>
        <w:t xml:space="preserve">Dealer Needs:</w:t>
      </w:r>
      <w:r>
        <w:rPr/>
        <w:br w:type="textWrapping"/>
      </w:r>
      <w:r>
        <w:rPr>
          <w:rFonts w:eastAsia="Georgia" w:cs="Georgia" w:ascii="Georgia" w:hAnsi="Georgia"/>
        </w:rPr>
        <w:t xml:space="preserve">✓ Higher conversion rates (15–20% lift from faster approvals)</w:t>
      </w:r>
      <w:r>
        <w:rPr/>
        <w:br w:type="textWrapping"/>
      </w:r>
      <w:r>
        <w:rPr>
          <w:rFonts w:eastAsia="Georgia" w:cs="Georgia" w:ascii="Georgia" w:hAnsi="Georgia"/>
        </w:rPr>
        <w:t xml:space="preserve">✓ Reduced administrative burden (30–40% time savings per deal)</w:t>
      </w:r>
      <w:r>
        <w:rPr/>
        <w:br w:type="textWrapping"/>
      </w:r>
      <w:r>
        <w:rPr>
          <w:rFonts w:eastAsia="Georgia" w:cs="Georgia" w:ascii="Georgia" w:hAnsi="Georgia"/>
        </w:rPr>
        <w:t xml:space="preserve">✓ Unified workflow for all lenders (one portal, not five)</w:t>
      </w:r>
      <w:r>
        <w:rPr/>
        <w:br w:type="textWrapping"/>
      </w:r>
      <w:r>
        <w:rPr>
          <w:rFonts w:eastAsia="Georgia" w:cs="Georgia" w:ascii="Georgia" w:hAnsi="Georgia"/>
        </w:rPr>
        <w:t xml:space="preserve">✓ Real-time updates on approvals and documentation status</w:t>
      </w:r>
      <w:r>
        <w:rPr/>
        <w:br w:type="textWrapping"/>
      </w:r>
      <w:r>
        <w:rPr>
          <w:rFonts w:eastAsia="Georgia" w:cs="Georgia" w:ascii="Georgia" w:hAnsi="Georgia"/>
        </w:rPr>
        <w:t xml:space="preserve">✓ Ability to offer competitive rates to attract customers</w:t>
      </w:r>
    </w:p>
    <w:p>
      <w:pPr>
        <w:spacing w:line="271" w:before="240" w:lineRule="auto"/>
      </w:pPr>
      <w:bookmarkStart w:id="38" w:name="bm_3_lenders_banks_credit_unions_1e6da1"/>
      <w:r>
        <w:rPr>
          <w:b/>
          <w:sz w:val="33"/>
        </w:rPr>
        <w:t xml:space="preserve">3. Lenders (Banks, Credit Unions, Farm Credit, Captives)</w:t>
      </w:r>
      <w:bookmarkEnd w:id="38"/>
    </w:p>
    <w:p>
      <w:pPr>
        <w:spacing w:after="210" w:lineRule="auto"/>
      </w:pPr>
      <w:r>
        <w:rPr/>
        <w:t xml:space="preserve">Each lender type has unique priorities: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Lender Type</w:t>
            </w:r>
          </w:p>
        </w:tc>
        <w:tc>
          <w:tcPr>
            <w:tcBorders>
              <w:top w:val="single" w:sz="1" w:space="0" w:color="000000"/>
              <w:left w:val="single" w:sz="1" w:space="0" w:color="000000"/>
              <w:bottom w:val="single" w:sz="1" w:space="0" w:color="000000"/>
            </w:tcBorders>
          </w:tcPr>
          <w:p>
            <w:pPr>
              <w:spacing w:lineRule="auto"/>
            </w:pPr>
            <w:r>
              <w:rPr/>
              <w:t xml:space="preserve">Key Pain</w:t>
            </w:r>
          </w:p>
        </w:tc>
        <w:tc>
          <w:tcPr>
            <w:tcBorders>
              <w:top w:val="single" w:sz="1" w:space="0" w:color="000000"/>
              <w:left w:val="single" w:sz="1" w:space="0" w:color="000000"/>
              <w:bottom w:val="single" w:sz="1" w:space="0" w:color="000000"/>
            </w:tcBorders>
          </w:tcPr>
          <w:p>
            <w:pPr>
              <w:spacing w:lineRule="auto"/>
            </w:pPr>
            <w:r>
              <w:rPr/>
              <w:t xml:space="preserve">Primary Need</w:t>
            </w:r>
          </w:p>
        </w:tc>
        <w:tc>
          <w:tcPr>
            <w:tcBorders>
              <w:top w:val="single" w:sz="1" w:space="0" w:color="000000"/>
              <w:left w:val="single" w:sz="1" w:space="0" w:color="000000"/>
              <w:bottom w:val="single" w:sz="1" w:space="0" w:color="000000"/>
            </w:tcBorders>
          </w:tcPr>
          <w:p>
            <w:pPr>
              <w:spacing w:lineRule="auto"/>
            </w:pPr>
            <w:r>
              <w:rPr/>
              <w:t xml:space="preserve">Why Platform</w:t>
            </w:r>
          </w:p>
        </w:tc>
      </w:tr>
      <w:tr>
        <w:trPr>
          <w:cantSplit/>
        </w:trPr>
        <w:tc>
          <w:tcPr>
            <w:tcBorders>
              <w:top w:val="single" w:sz="1" w:space="0" w:color="000000"/>
              <w:bottom w:val="single" w:sz="1" w:space="0" w:color="000000"/>
            </w:tcBorders>
          </w:tcPr>
          <w:p>
            <w:pPr>
              <w:spacing w:lineRule="auto"/>
            </w:pPr>
            <w:r>
              <w:rPr>
                <w:b/>
              </w:rPr>
              <w:t xml:space="preserve">Community Banks</w:t>
            </w:r>
          </w:p>
        </w:tc>
        <w:tc>
          <w:tcPr>
            <w:tcBorders>
              <w:top w:val="single" w:sz="1" w:space="0" w:color="000000"/>
              <w:left w:val="single" w:sz="1" w:space="0" w:color="000000"/>
              <w:bottom w:val="single" w:sz="1" w:space="0" w:color="000000"/>
            </w:tcBorders>
          </w:tcPr>
          <w:p>
            <w:pPr>
              <w:spacing w:lineRule="auto"/>
            </w:pPr>
            <w:r>
              <w:rPr/>
              <w:t xml:space="preserve">Slow manual underwriting; limited ag expertise</w:t>
            </w:r>
          </w:p>
        </w:tc>
        <w:tc>
          <w:tcPr>
            <w:tcBorders>
              <w:top w:val="single" w:sz="1" w:space="0" w:color="000000"/>
              <w:left w:val="single" w:sz="1" w:space="0" w:color="000000"/>
              <w:bottom w:val="single" w:sz="1" w:space="0" w:color="000000"/>
            </w:tcBorders>
          </w:tcPr>
          <w:p>
            <w:pPr>
              <w:spacing w:lineRule="auto"/>
            </w:pPr>
            <w:r>
              <w:rPr/>
              <w:t xml:space="preserve">Clean, standardized applications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15–25% cost reduction per loan</w:t>
            </w:r>
          </w:p>
        </w:tc>
      </w:tr>
      <w:tr>
        <w:trPr>
          <w:cantSplit/>
        </w:trPr>
        <w:tc>
          <w:tcPr>
            <w:tcBorders>
              <w:top w:val="single" w:sz="1" w:space="0" w:color="000000"/>
              <w:bottom w:val="single" w:sz="1" w:space="0" w:color="000000"/>
            </w:tcBorders>
          </w:tcPr>
          <w:p>
            <w:pPr>
              <w:spacing w:lineRule="auto"/>
            </w:pPr>
            <w:r>
              <w:rPr>
                <w:b/>
              </w:rPr>
              <w:t xml:space="preserve">Credit Unions</w:t>
            </w:r>
          </w:p>
        </w:tc>
        <w:tc>
          <w:tcPr>
            <w:tcBorders>
              <w:top w:val="single" w:sz="1" w:space="0" w:color="000000"/>
              <w:left w:val="single" w:sz="1" w:space="0" w:color="000000"/>
              <w:bottom w:val="single" w:sz="1" w:space="0" w:color="000000"/>
            </w:tcBorders>
          </w:tcPr>
          <w:p>
            <w:pPr>
              <w:spacing w:lineRule="auto"/>
            </w:pPr>
            <w:r>
              <w:rPr/>
              <w:t xml:space="preserve">Limited ag deal flow; seeking rural growth</w:t>
            </w:r>
          </w:p>
        </w:tc>
        <w:tc>
          <w:tcPr>
            <w:tcBorders>
              <w:top w:val="single" w:sz="1" w:space="0" w:color="000000"/>
              <w:left w:val="single" w:sz="1" w:space="0" w:color="000000"/>
              <w:bottom w:val="single" w:sz="1" w:space="0" w:color="000000"/>
            </w:tcBorders>
          </w:tcPr>
          <w:p>
            <w:pPr>
              <w:spacing w:lineRule="auto"/>
            </w:pPr>
            <w:r>
              <w:rPr/>
              <w:t xml:space="preserve">Access to quality borrower pool</w:t>
            </w:r>
          </w:p>
        </w:tc>
        <w:tc>
          <w:tcPr>
            <w:tcBorders>
              <w:top w:val="single" w:sz="1" w:space="0" w:color="000000"/>
              <w:left w:val="single" w:sz="1" w:space="0" w:color="000000"/>
              <w:bottom w:val="single" w:sz="1" w:space="0" w:color="000000"/>
            </w:tcBorders>
          </w:tcPr>
          <w:p>
            <w:pPr>
              <w:spacing w:lineRule="auto"/>
            </w:pPr>
            <w:r>
              <w:rPr/>
              <w:t xml:space="preserve">Dealer-originated deal sourcing</w:t>
            </w:r>
          </w:p>
        </w:tc>
      </w:tr>
      <w:tr>
        <w:trPr>
          <w:cantSplit/>
        </w:trPr>
        <w:tc>
          <w:tcPr>
            <w:tcBorders>
              <w:top w:val="single" w:sz="1" w:space="0" w:color="000000"/>
              <w:bottom w:val="single" w:sz="1" w:space="0" w:color="000000"/>
            </w:tcBorders>
          </w:tcPr>
          <w:p>
            <w:pPr>
              <w:spacing w:lineRule="auto"/>
            </w:pPr>
            <w:r>
              <w:rPr>
                <w:b/>
              </w:rPr>
              <w:t xml:space="preserve">Farm Credit</w:t>
            </w:r>
          </w:p>
        </w:tc>
        <w:tc>
          <w:tcPr>
            <w:tcBorders>
              <w:top w:val="single" w:sz="1" w:space="0" w:color="000000"/>
              <w:left w:val="single" w:sz="1" w:space="0" w:color="000000"/>
              <w:bottom w:val="single" w:sz="1" w:space="0" w:color="000000"/>
            </w:tcBorders>
          </w:tcPr>
          <w:p>
            <w:pPr>
              <w:spacing w:lineRule="auto"/>
            </w:pPr>
            <w:r>
              <w:rPr/>
              <w:t xml:space="preserve">Siloed dealer relationships; limited visibility</w:t>
            </w:r>
          </w:p>
        </w:tc>
        <w:tc>
          <w:tcPr>
            <w:tcBorders>
              <w:top w:val="single" w:sz="1" w:space="0" w:color="000000"/>
              <w:left w:val="single" w:sz="1" w:space="0" w:color="000000"/>
              <w:bottom w:val="single" w:sz="1" w:space="0" w:color="000000"/>
            </w:tcBorders>
          </w:tcPr>
          <w:p>
            <w:pPr>
              <w:spacing w:lineRule="auto"/>
            </w:pPr>
            <w:r>
              <w:rPr/>
              <w:t xml:space="preserve">Standardized workflows across dealer networks</w:t>
            </w:r>
          </w:p>
        </w:tc>
        <w:tc>
          <w:tcPr>
            <w:tcBorders>
              <w:top w:val="single" w:sz="1" w:space="0" w:color="000000"/>
              <w:left w:val="single" w:sz="1" w:space="0" w:color="000000"/>
              <w:bottom w:val="single" w:sz="1" w:space="0" w:color="000000"/>
            </w:tcBorders>
          </w:tcPr>
          <w:p>
            <w:pPr>
              <w:spacing w:lineRule="auto"/>
            </w:pPr>
            <w:r>
              <w:rPr/>
              <w:t xml:space="preserve">Real-time pipeline and analytics</w:t>
            </w:r>
          </w:p>
        </w:tc>
      </w:tr>
      <w:tr>
        <w:trPr>
          <w:cantSplit/>
        </w:trPr>
        <w:tc>
          <w:tcPr>
            <w:tcBorders>
              <w:top w:val="single" w:sz="1" w:space="0" w:color="000000"/>
              <w:bottom w:val="single" w:sz="1" w:space="0" w:color="000000"/>
            </w:tcBorders>
          </w:tcPr>
          <w:p>
            <w:pPr>
              <w:spacing w:lineRule="auto"/>
            </w:pPr>
            <w:r>
              <w:rPr>
                <w:b/>
              </w:rPr>
              <w:t xml:space="preserve">Captives</w:t>
            </w:r>
          </w:p>
        </w:tc>
        <w:tc>
          <w:tcPr>
            <w:tcBorders>
              <w:top w:val="single" w:sz="1" w:space="0" w:color="000000"/>
              <w:left w:val="single" w:sz="1" w:space="0" w:color="000000"/>
              <w:bottom w:val="single" w:sz="1" w:space="0" w:color="000000"/>
            </w:tcBorders>
          </w:tcPr>
          <w:p>
            <w:pPr>
              <w:spacing w:lineRule="auto"/>
            </w:pPr>
            <w:r>
              <w:rPr/>
              <w:t xml:space="preserve">Brand-locked; can't serve multi-brand</w:t>
            </w:r>
          </w:p>
        </w:tc>
        <w:tc>
          <w:tcPr>
            <w:tcBorders>
              <w:top w:val="single" w:sz="1" w:space="0" w:color="000000"/>
              <w:left w:val="single" w:sz="1" w:space="0" w:color="000000"/>
              <w:bottom w:val="single" w:sz="1" w:space="0" w:color="000000"/>
            </w:tcBorders>
          </w:tcPr>
          <w:p>
            <w:pPr>
              <w:spacing w:lineRule="auto"/>
            </w:pPr>
            <w:r>
              <w:rPr/>
              <w:t xml:space="preserve">Competitive intelligence on non-brand market</w:t>
            </w:r>
          </w:p>
        </w:tc>
        <w:tc>
          <w:tcPr>
            <w:tcBorders>
              <w:top w:val="single" w:sz="1" w:space="0" w:color="000000"/>
              <w:left w:val="single" w:sz="1" w:space="0" w:color="000000"/>
              <w:bottom w:val="single" w:sz="1" w:space="0" w:color="000000"/>
            </w:tcBorders>
          </w:tcPr>
          <w:p>
            <w:pPr>
              <w:spacing w:lineRule="auto"/>
            </w:pPr>
            <w:r>
              <w:rPr/>
              <w:t xml:space="preserve">Market intelligence; potential partnership</w:t>
            </w:r>
          </w:p>
        </w:tc>
      </w:tr>
    </w:tbl>
    <w:p>
      <w:pPr>
        <w:spacing w:lineRule="auto"/>
      </w:pPr>
    </w:p>
    <w:p>
      <w:pPr>
        <w:spacing w:after="210" w:lineRule="auto"/>
      </w:pPr>
      <w:r>
        <w:rPr>
          <w:b/>
        </w:rPr>
        <w:t xml:space="preserve">Core Lender Benefits:</w:t>
      </w:r>
      <w:r>
        <w:rPr/>
        <w:br w:type="textWrapping"/>
      </w:r>
      <w:r>
        <w:rPr>
          <w:rFonts w:eastAsia="Georgia" w:cs="Georgia" w:ascii="Georgia" w:hAnsi="Georgia"/>
        </w:rPr>
        <w:t xml:space="preserve">✓ Clean, standardized applications reduce underwriting time by 20–30%</w:t>
      </w:r>
      <w:r>
        <w:rPr/>
        <w:br w:type="textWrapping"/>
      </w:r>
      <w:r>
        <w:rPr>
          <w:rFonts w:eastAsia="Georgia" w:cs="Georgia" w:ascii="Georgia" w:hAnsi="Georgia"/>
        </w:rPr>
        <w:t xml:space="preserve">✓ Lower underwriting cost ($200–300/loan in rework reduction)</w:t>
      </w:r>
      <w:r>
        <w:rPr/>
        <w:br w:type="textWrapping"/>
      </w:r>
      <w:r>
        <w:rPr>
          <w:rFonts w:eastAsia="Georgia" w:cs="Georgia" w:ascii="Georgia" w:hAnsi="Georgia"/>
        </w:rPr>
        <w:t xml:space="preserve">✓ Expanded borrower reach (underserved small farms)</w:t>
      </w:r>
      <w:r>
        <w:rPr/>
        <w:br w:type="textWrapping"/>
      </w:r>
      <w:r>
        <w:rPr>
          <w:rFonts w:eastAsia="Georgia" w:cs="Georgia" w:ascii="Georgia" w:hAnsi="Georgia"/>
        </w:rPr>
        <w:t xml:space="preserve">✓ Audit-ready compliance trails</w:t>
      </w:r>
      <w:r>
        <w:rPr/>
        <w:br w:type="textWrapping"/>
      </w:r>
      <w:r>
        <w:rPr>
          <w:rFonts w:eastAsia="Georgia" w:cs="Georgia" w:ascii="Georgia" w:hAnsi="Georgia"/>
        </w:rPr>
        <w:t xml:space="preserve">✓ Anonymous aggregated analytics for risk decisioning</w:t>
      </w:r>
    </w:p>
    <w:p>
      <w:pPr>
        <w:spacing w:line="271" w:before="240" w:lineRule="auto"/>
      </w:pPr>
      <w:bookmarkStart w:id="39" w:name="bm_4_oems_equipment_manufacturers"/>
      <w:r>
        <w:rPr>
          <w:b/>
          <w:sz w:val="33"/>
        </w:rPr>
        <w:t xml:space="preserve">4. OEMs (Equipment Manufacturers)</w:t>
      </w:r>
      <w:bookmarkEnd w:id="39"/>
    </w:p>
    <w:p>
      <w:pPr>
        <w:spacing w:after="210" w:lineRule="auto"/>
      </w:pPr>
      <w:r>
        <w:rPr/>
        <w:t xml:space="preserve">OEMs (John Deere, CNH, AGCO, Kubota) influence dealer operations and financing preferences.</w:t>
      </w:r>
    </w:p>
    <w:p>
      <w:pPr>
        <w:spacing w:after="210" w:lineRule="auto"/>
      </w:pPr>
      <w:r>
        <w:rPr>
          <w:b/>
        </w:rPr>
        <w:t xml:space="preserve">OEM Needs:</w:t>
      </w:r>
      <w:r>
        <w:rPr/>
        <w:br w:type="textWrapping"/>
      </w:r>
      <w:r>
        <w:rPr>
          <w:rFonts w:eastAsia="Georgia" w:cs="Georgia" w:ascii="Georgia" w:hAnsi="Georgia"/>
        </w:rPr>
        <w:t xml:space="preserve">✓ Increased dealer throughput and financing conversion</w:t>
      </w:r>
      <w:r>
        <w:rPr/>
        <w:br w:type="textWrapping"/>
      </w:r>
      <w:r>
        <w:rPr>
          <w:rFonts w:eastAsia="Georgia" w:cs="Georgia" w:ascii="Georgia" w:hAnsi="Georgia"/>
        </w:rPr>
        <w:t xml:space="preserve">✓ Visibility into financing performance by dealer</w:t>
      </w:r>
      <w:r>
        <w:rPr/>
        <w:br w:type="textWrapping"/>
      </w:r>
      <w:r>
        <w:rPr>
          <w:rFonts w:eastAsia="Georgia" w:cs="Georgia" w:ascii="Georgia" w:hAnsi="Georgia"/>
        </w:rPr>
        <w:t xml:space="preserve">✓ Standardized financing experience across dealer networks</w:t>
      </w:r>
      <w:r>
        <w:rPr/>
        <w:br w:type="textWrapping"/>
      </w:r>
      <w:r>
        <w:rPr>
          <w:rFonts w:eastAsia="Georgia" w:cs="Georgia" w:ascii="Georgia" w:hAnsi="Georgia"/>
        </w:rPr>
        <w:t xml:space="preserve">✓ Incentive program utilization tracking and reporting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bm_7_tam_sam_som_fully_data_backed"/>
      <w:r>
        <w:rPr>
          <w:b/>
          <w:sz w:val="42"/>
        </w:rPr>
        <w:t xml:space="preserve">7. TAM / SAM / SOM (Fully Data-Backed)</w:t>
      </w:r>
      <w:bookmarkEnd w:id="40"/>
    </w:p>
    <w:p>
      <w:pPr>
        <w:spacing w:line="271" w:before="240" w:lineRule="auto"/>
      </w:pPr>
      <w:bookmarkStart w:id="41" w:name="bm_1_total_addressable_market_tam_efa690"/>
      <w:r>
        <w:rPr>
          <w:b/>
          <w:sz w:val="33"/>
        </w:rPr>
        <w:t xml:space="preserve">1. Total Addressable Market (TAM): $100B+ Annually</w:t>
      </w:r>
      <w:bookmarkEnd w:id="41"/>
    </w:p>
    <w:p>
      <w:pPr>
        <w:spacing w:after="210" w:lineRule="auto"/>
      </w:pPr>
      <w:r>
        <w:rPr/>
        <w:t xml:space="preserve">TAM reflects the full value of U.S. agricultural equipment purchases that rely on financing:</w:t>
      </w:r>
    </w:p>
    <w:p>
      <w:pPr>
        <w:spacing w:after="210" w:lineRule="auto"/>
      </w:pPr>
      <w:r>
        <w:rPr>
          <w:b/>
        </w:rPr>
        <w:t xml:space="preserve">Components:</w:t>
      </w:r>
    </w:p>
    <w:p>
      <w:pPr>
        <w:numPr>
          <w:ilvl w:val="0"/>
          <w:numId w:val="24"/>
        </w:numPr>
        <w:spacing w:lineRule="auto"/>
      </w:pPr>
      <w:r>
        <w:rPr>
          <w:rFonts w:eastAsia="Georgia" w:cs="Georgia" w:ascii="Georgia" w:hAnsi="Georgia"/>
        </w:rPr>
        <w:t xml:space="preserve">New equipment purchases: ~$70B</w:t>
      </w:r>
    </w:p>
    <w:p>
      <w:pPr>
        <w:numPr>
          <w:ilvl w:val="0"/>
          <w:numId w:val="24"/>
        </w:numPr>
        <w:spacing w:lineRule="auto"/>
      </w:pPr>
      <w:r>
        <w:rPr>
          <w:rFonts w:eastAsia="Georgia" w:cs="Georgia" w:ascii="Georgia" w:hAnsi="Georgia"/>
        </w:rPr>
        <w:t xml:space="preserve">Used equipment purchases: ~$30B+</w:t>
      </w:r>
    </w:p>
    <w:p>
      <w:pPr>
        <w:numPr>
          <w:ilvl w:val="0"/>
          <w:numId w:val="24"/>
        </w:numPr>
        <w:spacing w:lineRule="auto"/>
      </w:pPr>
      <w:r>
        <w:rPr/>
        <w:t xml:space="preserve">Financing penetration: &gt;50% across categories</w:t>
      </w:r>
    </w:p>
    <w:p>
      <w:pPr>
        <w:spacing w:after="210" w:lineRule="auto"/>
      </w:pPr>
      <w:r>
        <w:rPr>
          <w:b/>
        </w:rPr>
        <w:t xml:space="preserve">Supporting Data</w:t>
      </w:r>
      <w:r>
        <w:rPr/>
        <w:t xml:space="preserve">: Global ag equipment finance market valued at $74.5B (2024), growing 6.3% CAGR through 2034[source:1][source:5]</w:t>
      </w:r>
    </w:p>
    <w:p>
      <w:pPr>
        <w:spacing w:line="271" w:before="240" w:lineRule="auto"/>
      </w:pPr>
      <w:bookmarkStart w:id="42" w:name="bm_2_serviceable_available_market_a4979c"/>
      <w:r>
        <w:rPr>
          <w:rFonts w:eastAsia="Georgia" w:cs="Georgia" w:ascii="Georgia" w:hAnsi="Georgia"/>
          <w:b/>
          <w:sz w:val="33"/>
        </w:rPr>
        <w:t xml:space="preserve">2. Serviceable Available Market (SAM): ~$35B Annually</w:t>
      </w:r>
      <w:bookmarkEnd w:id="42"/>
    </w:p>
    <w:p>
      <w:pPr>
        <w:spacing w:after="210" w:lineRule="auto"/>
      </w:pPr>
      <w:r>
        <w:rPr/>
        <w:t xml:space="preserve">SAM reflects the portion of TAM realistically accessible to third-party, non-captive lenders and marketplaces.</w:t>
      </w:r>
    </w:p>
    <w:p>
      <w:pPr>
        <w:spacing w:after="210" w:lineRule="auto"/>
      </w:pPr>
      <w:r>
        <w:rPr>
          <w:b/>
        </w:rPr>
        <w:t xml:space="preserve">SAM Components:</w:t>
      </w:r>
    </w:p>
    <w:p>
      <w:pPr>
        <w:numPr>
          <w:ilvl w:val="0"/>
          <w:numId w:val="25"/>
        </w:numPr>
        <w:spacing w:lineRule="auto"/>
      </w:pPr>
      <w:r>
        <w:rPr>
          <w:rFonts w:eastAsia="Georgia" w:cs="Georgia" w:ascii="Georgia" w:hAnsi="Georgia"/>
        </w:rPr>
        <w:t xml:space="preserve">Independent dealer financing volume: ~$18B</w:t>
      </w:r>
    </w:p>
    <w:p>
      <w:pPr>
        <w:numPr>
          <w:ilvl w:val="0"/>
          <w:numId w:val="25"/>
        </w:numPr>
        <w:spacing w:lineRule="auto"/>
      </w:pPr>
      <w:r>
        <w:rPr>
          <w:rFonts w:eastAsia="Georgia" w:cs="Georgia" w:ascii="Georgia" w:hAnsi="Georgia"/>
        </w:rPr>
        <w:t xml:space="preserve">Non-captive lender originations: ~$12B</w:t>
      </w:r>
    </w:p>
    <w:p>
      <w:pPr>
        <w:numPr>
          <w:ilvl w:val="0"/>
          <w:numId w:val="25"/>
        </w:numPr>
        <w:spacing w:lineRule="auto"/>
      </w:pPr>
      <w:r>
        <w:rPr>
          <w:rFonts w:eastAsia="Georgia" w:cs="Georgia" w:ascii="Georgia" w:hAnsi="Georgia"/>
        </w:rPr>
        <w:t xml:space="preserve">Farm Credit and community bank underserved segments: ~$5B</w:t>
      </w:r>
    </w:p>
    <w:p>
      <w:pPr>
        <w:spacing w:after="210" w:lineRule="auto"/>
      </w:pPr>
      <w:r>
        <w:rPr/>
        <w:t xml:space="preserve">SAM focuses on high-friction, high-fragmentation segments: small and midsize farmers and independent dealers.</w:t>
      </w:r>
    </w:p>
    <w:p>
      <w:pPr>
        <w:spacing w:line="271" w:before="240" w:lineRule="auto"/>
      </w:pPr>
      <w:bookmarkStart w:id="43" w:name="bm_3_serviceable_obtainable_marke_537eb0"/>
      <w:r>
        <w:rPr>
          <w:rFonts w:eastAsia="Georgia" w:cs="Georgia" w:ascii="Georgia" w:hAnsi="Georgia"/>
          <w:b/>
          <w:sz w:val="33"/>
        </w:rPr>
        <w:t xml:space="preserve">3. Serviceable Obtainable Market (SOM): ~$5B Annually</w:t>
      </w:r>
      <w:bookmarkEnd w:id="43"/>
    </w:p>
    <w:p>
      <w:pPr>
        <w:spacing w:after="210" w:lineRule="auto"/>
      </w:pPr>
      <w:r>
        <w:rPr/>
        <w:t xml:space="preserve">SOM represents near-term achievable volume given early geographic focus, dealer acquisition capacity, and lender participation.</w:t>
      </w:r>
    </w:p>
    <w:p>
      <w:pPr>
        <w:spacing w:after="210" w:lineRule="auto"/>
      </w:pPr>
      <w:r>
        <w:rPr>
          <w:b/>
        </w:rPr>
        <w:t xml:space="preserve">Bottom-Up Derivation:</w:t>
      </w:r>
    </w:p>
    <w:p>
      <w:pPr>
        <w:numPr>
          <w:ilvl w:val="0"/>
          <w:numId w:val="26"/>
        </w:numPr>
        <w:spacing w:lineRule="auto"/>
      </w:pPr>
      <w:r>
        <w:rPr>
          <w:rFonts w:eastAsia="Georgia" w:cs="Georgia" w:ascii="Georgia" w:hAnsi="Georgia"/>
        </w:rPr>
        <w:t xml:space="preserve">Target dealers in first 3–5 years: 1,200</w:t>
      </w:r>
    </w:p>
    <w:p>
      <w:pPr>
        <w:numPr>
          <w:ilvl w:val="0"/>
          <w:numId w:val="26"/>
        </w:numPr>
        <w:spacing w:lineRule="auto"/>
      </w:pPr>
      <w:r>
        <w:rPr/>
        <w:t xml:space="preserve">Average annual applications per dealer: 100</w:t>
      </w:r>
    </w:p>
    <w:p>
      <w:pPr>
        <w:numPr>
          <w:ilvl w:val="0"/>
          <w:numId w:val="26"/>
        </w:numPr>
        <w:spacing w:lineRule="auto"/>
      </w:pPr>
      <w:r>
        <w:rPr/>
        <w:t xml:space="preserve">Average funded-loan conversion: 50%</w:t>
      </w:r>
    </w:p>
    <w:p>
      <w:pPr>
        <w:numPr>
          <w:ilvl w:val="0"/>
          <w:numId w:val="26"/>
        </w:numPr>
        <w:spacing w:lineRule="auto"/>
      </w:pPr>
      <w:r>
        <w:rPr/>
        <w:t xml:space="preserve">Average equipment cost: $80,000</w:t>
      </w:r>
    </w:p>
    <w:p>
      <w:pPr>
        <w:spacing w:after="210" w:lineRule="auto"/>
      </w:pPr>
      <w:r>
        <w:rPr>
          <w:b/>
        </w:rPr>
        <w:t xml:space="preserve">SOM Calculation:</w:t>
      </w:r>
      <w:r>
        <w:rPr/>
        <w:br w:type="textWrapping"/>
      </w:r>
      <w:r>
        <w:rPr>
          <w:rFonts w:eastAsia="Georgia" w:cs="Georgia" w:ascii="Georgia" w:hAnsi="Georgia"/>
        </w:rPr>
        <w:t xml:space="preserve">1,200 dealers × 50 funded loans × $80,000 = </w:t>
      </w:r>
      <w:r>
        <w:rPr>
          <w:b/>
        </w:rPr>
        <w:t xml:space="preserve">$4.8B annual funded volume</w:t>
      </w:r>
    </w:p>
    <w:p>
      <w:pPr>
        <w:spacing w:after="210" w:lineRule="auto"/>
      </w:pPr>
      <w:r>
        <w:rPr>
          <w:b/>
        </w:rPr>
        <w:t xml:space="preserve">Validation:</w:t>
      </w:r>
      <w:r>
        <w:rPr>
          <w:rFonts w:eastAsia="Georgia" w:cs="Georgia" w:ascii="Georgia" w:hAnsi="Georgia"/>
        </w:rPr>
        <w:t xml:space="preserve"> This assumes 10–15% penetration of the non-captive market, consistent with successful B2B SaaS platforms in adjacent verticals (construction equipment, SMB lending).</w:t>
      </w:r>
    </w:p>
    <w:p>
      <w:pPr>
        <w:spacing w:line="271" w:before="240" w:lineRule="auto"/>
      </w:pPr>
      <w:bookmarkStart w:id="44" w:name="summary"/>
      <w:r>
        <w:rPr>
          <w:b/>
          <w:sz w:val="33"/>
        </w:rPr>
        <w:t xml:space="preserve">Summary</w:t>
      </w:r>
      <w:bookmarkEnd w:id="4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Value</w:t>
            </w:r>
          </w:p>
        </w:tc>
        <w:tc>
          <w:tcPr>
            <w:tcBorders>
              <w:top w:val="single" w:sz="1" w:space="0" w:color="000000"/>
              <w:left w:val="single" w:sz="1" w:space="0" w:color="000000"/>
              <w:bottom w:val="single" w:sz="1" w:space="0" w:color="000000"/>
            </w:tcBorders>
          </w:tcPr>
          <w:p>
            <w:pPr>
              <w:spacing w:lineRule="auto"/>
            </w:pPr>
            <w:r>
              <w:rPr/>
              <w:t xml:space="preserve">Notes</w:t>
            </w:r>
          </w:p>
        </w:tc>
      </w:tr>
      <w:tr>
        <w:trPr>
          <w:cantSplit/>
        </w:trPr>
        <w:tc>
          <w:tcPr>
            <w:tcBorders>
              <w:top w:val="single" w:sz="1" w:space="0" w:color="000000"/>
              <w:bottom w:val="single" w:sz="1" w:space="0" w:color="000000"/>
            </w:tcBorders>
          </w:tcPr>
          <w:p>
            <w:pPr>
              <w:spacing w:lineRule="auto"/>
            </w:pPr>
            <w:r>
              <w:rPr>
                <w:b/>
              </w:rPr>
              <w:t xml:space="preserve">TAM</w:t>
            </w:r>
          </w:p>
        </w:tc>
        <w:tc>
          <w:tcPr>
            <w:tcBorders>
              <w:top w:val="single" w:sz="1" w:space="0" w:color="000000"/>
              <w:left w:val="single" w:sz="1" w:space="0" w:color="000000"/>
              <w:bottom w:val="single" w:sz="1" w:space="0" w:color="000000"/>
            </w:tcBorders>
          </w:tcPr>
          <w:p>
            <w:pPr>
              <w:spacing w:lineRule="auto"/>
            </w:pPr>
            <w:r>
              <w:rPr/>
              <w:t xml:space="preserve">$100B+</w:t>
            </w:r>
          </w:p>
        </w:tc>
        <w:tc>
          <w:tcPr>
            <w:tcBorders>
              <w:top w:val="single" w:sz="1" w:space="0" w:color="000000"/>
              <w:left w:val="single" w:sz="1" w:space="0" w:color="000000"/>
              <w:bottom w:val="single" w:sz="1" w:space="0" w:color="000000"/>
            </w:tcBorders>
          </w:tcPr>
          <w:p>
            <w:pPr>
              <w:spacing w:lineRule="auto"/>
            </w:pPr>
            <w:r>
              <w:rPr/>
              <w:t xml:space="preserve">Entire U.S. ag equipment financing market</w:t>
            </w:r>
          </w:p>
        </w:tc>
      </w:tr>
      <w:tr>
        <w:trPr>
          <w:cantSplit/>
        </w:trPr>
        <w:tc>
          <w:tcPr>
            <w:tcBorders>
              <w:top w:val="single" w:sz="1" w:space="0" w:color="000000"/>
              <w:bottom w:val="single" w:sz="1" w:space="0" w:color="000000"/>
            </w:tcBorders>
          </w:tcPr>
          <w:p>
            <w:pPr>
              <w:spacing w:lineRule="auto"/>
            </w:pPr>
            <w:r>
              <w:rPr>
                <w:b/>
              </w:rPr>
              <w:t xml:space="preserve">SAM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~$35B</w:t>
            </w:r>
          </w:p>
        </w:tc>
        <w:tc>
          <w:tcPr>
            <w:tcBorders>
              <w:top w:val="single" w:sz="1" w:space="0" w:color="000000"/>
              <w:left w:val="single" w:sz="1" w:space="0" w:color="000000"/>
              <w:bottom w:val="single" w:sz="1" w:space="0" w:color="000000"/>
            </w:tcBorders>
          </w:tcPr>
          <w:p>
            <w:pPr>
              <w:spacing w:lineRule="auto"/>
            </w:pPr>
            <w:r>
              <w:rPr/>
              <w:t xml:space="preserve">Non-captive, dealer-driven, underserved segments</w:t>
            </w:r>
          </w:p>
        </w:tc>
      </w:tr>
      <w:tr>
        <w:trPr>
          <w:cantSplit/>
        </w:trPr>
        <w:tc>
          <w:tcPr>
            <w:tcBorders>
              <w:top w:val="single" w:sz="1" w:space="0" w:color="000000"/>
              <w:bottom w:val="single" w:sz="1" w:space="0" w:color="000000"/>
            </w:tcBorders>
          </w:tcPr>
          <w:p>
            <w:pPr>
              <w:spacing w:lineRule="auto"/>
            </w:pPr>
            <w:r>
              <w:rPr>
                <w:b/>
              </w:rPr>
              <w:t xml:space="preserve">SOM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Achievable within 5-year scale-up phase; 10–15% market penetration</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bm_8_competitive_landscape_moat"/>
      <w:r>
        <w:rPr>
          <w:b/>
          <w:sz w:val="42"/>
        </w:rPr>
        <w:t xml:space="preserve">8. COMPETITIVE LANDSCAPE &amp; MOAT</w:t>
      </w:r>
      <w:bookmarkEnd w:id="45"/>
    </w:p>
    <w:p>
      <w:pPr>
        <w:spacing w:line="271" w:before="240" w:lineRule="auto"/>
      </w:pPr>
      <w:bookmarkStart w:id="46" w:name="competitive_categories"/>
      <w:r>
        <w:rPr>
          <w:b/>
          <w:sz w:val="33"/>
        </w:rPr>
        <w:t xml:space="preserve">Competitive Categories</w:t>
      </w:r>
      <w:bookmarkEnd w:id="46"/>
    </w:p>
    <w:p>
      <w:pPr>
        <w:spacing w:after="210" w:lineRule="auto"/>
      </w:pPr>
      <w:r>
        <w:rPr>
          <w:b/>
        </w:rPr>
        <w:t xml:space="preserve">a. Captive Lenders</w:t>
      </w:r>
      <w:r>
        <w:rPr/>
        <w:t xml:space="preserve"> (e.g., John Deere Financial, CNH Capital, AGCO Finance)</w:t>
      </w:r>
    </w:p>
    <w:p>
      <w:pPr>
        <w:numPr>
          <w:ilvl w:val="0"/>
          <w:numId w:val="27"/>
        </w:numPr>
        <w:spacing w:lineRule="auto"/>
      </w:pPr>
      <w:r>
        <w:rPr/>
        <w:t xml:space="preserve">Dominance: OEM-aligned dealer networks</w:t>
      </w:r>
    </w:p>
    <w:p>
      <w:pPr>
        <w:numPr>
          <w:ilvl w:val="0"/>
          <w:numId w:val="27"/>
        </w:numPr>
        <w:spacing w:lineRule="auto"/>
      </w:pPr>
      <w:r>
        <w:rPr/>
        <w:t xml:space="preserve">Weaknesses:</w:t>
      </w:r>
    </w:p>
    <w:p>
      <w:pPr>
        <w:numPr>
          <w:ilvl w:val="1"/>
          <w:numId w:val="27"/>
        </w:numPr>
        <w:spacing w:lineRule="auto"/>
      </w:pPr>
      <w:r>
        <w:rPr/>
        <w:t xml:space="preserve">Brand-specific financing rules</w:t>
      </w:r>
    </w:p>
    <w:p>
      <w:pPr>
        <w:numPr>
          <w:ilvl w:val="1"/>
          <w:numId w:val="27"/>
        </w:numPr>
        <w:spacing w:lineRule="auto"/>
      </w:pPr>
      <w:r>
        <w:rPr/>
        <w:t xml:space="preserve">Limited appetite for non-OEM or used equipment</w:t>
      </w:r>
    </w:p>
    <w:p>
      <w:pPr>
        <w:numPr>
          <w:ilvl w:val="1"/>
          <w:numId w:val="27"/>
        </w:numPr>
        <w:spacing w:lineRule="auto"/>
      </w:pPr>
      <w:r>
        <w:rPr/>
        <w:t xml:space="preserve">Lack of neutrality in pricing</w:t>
      </w:r>
    </w:p>
    <w:p>
      <w:pPr>
        <w:numPr>
          <w:ilvl w:val="1"/>
          <w:numId w:val="27"/>
        </w:numPr>
        <w:spacing w:lineRule="auto"/>
      </w:pPr>
      <w:r>
        <w:rPr/>
        <w:t xml:space="preserve">No multi-lender routing capability</w:t>
      </w:r>
    </w:p>
    <w:p>
      <w:pPr>
        <w:spacing w:after="210" w:lineRule="auto"/>
      </w:pPr>
      <w:r>
        <w:rPr>
          <w:b/>
        </w:rPr>
        <w:t xml:space="preserve">b. Banks and Credit Unions</w:t>
      </w:r>
    </w:p>
    <w:p>
      <w:pPr>
        <w:numPr>
          <w:ilvl w:val="0"/>
          <w:numId w:val="28"/>
        </w:numPr>
        <w:spacing w:lineRule="auto"/>
      </w:pPr>
      <w:r>
        <w:rPr/>
        <w:t xml:space="preserve">Historically supported small farms</w:t>
      </w:r>
    </w:p>
    <w:p>
      <w:pPr>
        <w:numPr>
          <w:ilvl w:val="0"/>
          <w:numId w:val="28"/>
        </w:numPr>
        <w:spacing w:lineRule="auto"/>
      </w:pPr>
      <w:r>
        <w:rPr/>
        <w:t xml:space="preserve">Weaknesses:</w:t>
      </w:r>
    </w:p>
    <w:p>
      <w:pPr>
        <w:numPr>
          <w:ilvl w:val="1"/>
          <w:numId w:val="28"/>
        </w:numPr>
        <w:spacing w:lineRule="auto"/>
      </w:pPr>
      <w:r>
        <w:rPr/>
        <w:t xml:space="preserve">Slow manual underwriting</w:t>
      </w:r>
    </w:p>
    <w:p>
      <w:pPr>
        <w:numPr>
          <w:ilvl w:val="1"/>
          <w:numId w:val="28"/>
        </w:numPr>
        <w:spacing w:lineRule="auto"/>
      </w:pPr>
      <w:r>
        <w:rPr/>
        <w:t xml:space="preserve">Limited agricultural expertise</w:t>
      </w:r>
    </w:p>
    <w:p>
      <w:pPr>
        <w:numPr>
          <w:ilvl w:val="1"/>
          <w:numId w:val="28"/>
        </w:numPr>
        <w:spacing w:lineRule="auto"/>
      </w:pPr>
      <w:r>
        <w:rPr/>
        <w:t xml:space="preserve">Outdated document workflows</w:t>
      </w:r>
    </w:p>
    <w:p>
      <w:pPr>
        <w:numPr>
          <w:ilvl w:val="1"/>
          <w:numId w:val="28"/>
        </w:numPr>
        <w:spacing w:lineRule="auto"/>
      </w:pPr>
      <w:r>
        <w:rPr/>
        <w:t xml:space="preserve">No dealer-embedded presence</w:t>
      </w:r>
    </w:p>
    <w:p>
      <w:pPr>
        <w:numPr>
          <w:ilvl w:val="1"/>
          <w:numId w:val="28"/>
        </w:numPr>
        <w:spacing w:lineRule="auto"/>
      </w:pPr>
      <w:r>
        <w:rPr/>
        <w:t xml:space="preserve">Declining rural branch presence</w:t>
      </w:r>
    </w:p>
    <w:p>
      <w:pPr>
        <w:spacing w:after="210" w:lineRule="auto"/>
      </w:pPr>
      <w:r>
        <w:rPr>
          <w:b/>
        </w:rPr>
        <w:t xml:space="preserve">c. Farm Credit System (FCS)</w:t>
      </w:r>
    </w:p>
    <w:p>
      <w:pPr>
        <w:numPr>
          <w:ilvl w:val="0"/>
          <w:numId w:val="29"/>
        </w:numPr>
        <w:spacing w:lineRule="auto"/>
      </w:pPr>
      <w:r>
        <w:rPr/>
        <w:t xml:space="preserve">Dominant regional player; strong lender relationships</w:t>
      </w:r>
    </w:p>
    <w:p>
      <w:pPr>
        <w:numPr>
          <w:ilvl w:val="0"/>
          <w:numId w:val="29"/>
        </w:numPr>
        <w:spacing w:lineRule="auto"/>
      </w:pPr>
      <w:r>
        <w:rPr/>
        <w:t xml:space="preserve">Weaknesses:</w:t>
      </w:r>
    </w:p>
    <w:p>
      <w:pPr>
        <w:numPr>
          <w:ilvl w:val="1"/>
          <w:numId w:val="29"/>
        </w:numPr>
        <w:spacing w:lineRule="auto"/>
      </w:pPr>
      <w:r>
        <w:rPr/>
        <w:t xml:space="preserve">Wide variation in digital capabilities</w:t>
      </w:r>
    </w:p>
    <w:p>
      <w:pPr>
        <w:numPr>
          <w:ilvl w:val="1"/>
          <w:numId w:val="29"/>
        </w:numPr>
        <w:spacing w:lineRule="auto"/>
      </w:pPr>
      <w:r>
        <w:rPr/>
        <w:t xml:space="preserve">No standardized dealer-facing workflows</w:t>
      </w:r>
    </w:p>
    <w:p>
      <w:pPr>
        <w:numPr>
          <w:ilvl w:val="1"/>
          <w:numId w:val="29"/>
        </w:numPr>
        <w:spacing w:lineRule="auto"/>
      </w:pPr>
      <w:r>
        <w:rPr/>
        <w:t xml:space="preserve">Territorially bound (don't compete nationally)</w:t>
      </w:r>
    </w:p>
    <w:p>
      <w:pPr>
        <w:spacing w:after="210" w:lineRule="auto"/>
      </w:pPr>
      <w:r>
        <w:rPr>
          <w:b/>
        </w:rPr>
        <w:t xml:space="preserve">d. Fintech Entrants</w:t>
      </w:r>
    </w:p>
    <w:p>
      <w:pPr>
        <w:numPr>
          <w:ilvl w:val="0"/>
          <w:numId w:val="30"/>
        </w:numPr>
        <w:spacing w:lineRule="auto"/>
      </w:pPr>
      <w:r>
        <w:rPr/>
        <w:t xml:space="preserve">Few modern platforms serve agricultural equipment</w:t>
      </w:r>
    </w:p>
    <w:p>
      <w:pPr>
        <w:numPr>
          <w:ilvl w:val="0"/>
          <w:numId w:val="30"/>
        </w:numPr>
        <w:spacing w:lineRule="auto"/>
      </w:pPr>
      <w:r>
        <w:rPr/>
        <w:t xml:space="preserve">Existing fintechs focus on:</w:t>
      </w:r>
    </w:p>
    <w:p>
      <w:pPr>
        <w:numPr>
          <w:ilvl w:val="1"/>
          <w:numId w:val="30"/>
        </w:numPr>
        <w:spacing w:lineRule="auto"/>
      </w:pPr>
      <w:r>
        <w:rPr/>
        <w:t xml:space="preserve">SMB equipment finance (</w:t>
      </w:r>
      <w:hyperlink r:id="rId5">
        <w:r>
          <w:rPr>
            <w:color w:val="4472C4"/>
          </w:rPr>
          <w:t xml:space="preserve">equipment.com</w:t>
        </w:r>
      </w:hyperlink>
      <w:r>
        <w:rPr/>
        <w:t xml:space="preserve">, etc.)</w:t>
      </w:r>
    </w:p>
    <w:p>
      <w:pPr>
        <w:numPr>
          <w:ilvl w:val="1"/>
          <w:numId w:val="30"/>
        </w:numPr>
        <w:spacing w:lineRule="auto"/>
      </w:pPr>
      <w:r>
        <w:rPr/>
        <w:t xml:space="preserve">Construction equipment (OnDeck, Fundbox)</w:t>
      </w:r>
    </w:p>
    <w:p>
      <w:pPr>
        <w:numPr>
          <w:ilvl w:val="1"/>
          <w:numId w:val="30"/>
        </w:numPr>
        <w:spacing w:lineRule="auto"/>
      </w:pPr>
      <w:r>
        <w:rPr/>
        <w:t xml:space="preserve">General purpose lending</w:t>
      </w:r>
    </w:p>
    <w:p>
      <w:pPr>
        <w:numPr>
          <w:ilvl w:val="0"/>
          <w:numId w:val="30"/>
        </w:numPr>
        <w:spacing w:lineRule="auto"/>
      </w:pPr>
      <w:r>
        <w:rPr>
          <w:b/>
        </w:rPr>
        <w:t xml:space="preserve">Gap</w:t>
      </w:r>
      <w:r>
        <w:rPr/>
        <w:t xml:space="preserve">: No major fintech provides multi-lender, ag-specialized, dealer-embedded infrastructure</w:t>
      </w:r>
    </w:p>
    <w:p>
      <w:pPr>
        <w:spacing w:line="271" w:before="240" w:lineRule="auto"/>
      </w:pPr>
      <w:bookmarkStart w:id="47" w:name="competitive_grid"/>
      <w:r>
        <w:rPr>
          <w:b/>
          <w:sz w:val="33"/>
        </w:rPr>
        <w:t xml:space="preserve">Competitive Grid</w:t>
      </w:r>
      <w:bookmarkEnd w:id="4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t xml:space="preserve">Dimension</w:t>
            </w:r>
          </w:p>
        </w:tc>
        <w:tc>
          <w:tcPr>
            <w:tcBorders>
              <w:top w:val="single" w:sz="1" w:space="0" w:color="000000"/>
              <w:left w:val="single" w:sz="1" w:space="0" w:color="000000"/>
              <w:bottom w:val="single" w:sz="1" w:space="0" w:color="000000"/>
            </w:tcBorders>
          </w:tcPr>
          <w:p>
            <w:pPr>
              <w:spacing w:lineRule="auto"/>
            </w:pPr>
            <w:r>
              <w:rPr/>
              <w:t xml:space="preserve">Captives</w:t>
            </w:r>
          </w:p>
        </w:tc>
        <w:tc>
          <w:tcPr>
            <w:tcBorders>
              <w:top w:val="single" w:sz="1" w:space="0" w:color="000000"/>
              <w:left w:val="single" w:sz="1" w:space="0" w:color="000000"/>
              <w:bottom w:val="single" w:sz="1" w:space="0" w:color="000000"/>
            </w:tcBorders>
          </w:tcPr>
          <w:p>
            <w:pPr>
              <w:spacing w:lineRule="auto"/>
            </w:pPr>
            <w:r>
              <w:rPr/>
              <w:t xml:space="preserve">Farm Credit</w:t>
            </w:r>
          </w:p>
        </w:tc>
        <w:tc>
          <w:tcPr>
            <w:tcBorders>
              <w:top w:val="single" w:sz="1" w:space="0" w:color="000000"/>
              <w:left w:val="single" w:sz="1" w:space="0" w:color="000000"/>
              <w:bottom w:val="single" w:sz="1" w:space="0" w:color="000000"/>
            </w:tcBorders>
          </w:tcPr>
          <w:p>
            <w:pPr>
              <w:spacing w:lineRule="auto"/>
            </w:pPr>
            <w:r>
              <w:rPr/>
              <w:t xml:space="preserve">Banks</w:t>
            </w:r>
          </w:p>
        </w:tc>
        <w:tc>
          <w:tcPr>
            <w:tcBorders>
              <w:top w:val="single" w:sz="1" w:space="0" w:color="000000"/>
              <w:left w:val="single" w:sz="1" w:space="0" w:color="000000"/>
              <w:bottom w:val="single" w:sz="1" w:space="0" w:color="000000"/>
            </w:tcBorders>
          </w:tcPr>
          <w:p>
            <w:pPr>
              <w:spacing w:lineRule="auto"/>
            </w:pPr>
            <w:r>
              <w:rPr/>
              <w:t xml:space="preserve">Fintechs</w:t>
            </w:r>
          </w:p>
        </w:tc>
        <w:tc>
          <w:tcPr>
            <w:tcBorders>
              <w:top w:val="single" w:sz="1" w:space="0" w:color="000000"/>
              <w:left w:val="single" w:sz="1" w:space="0" w:color="000000"/>
              <w:bottom w:val="single" w:sz="1" w:space="0" w:color="000000"/>
            </w:tcBorders>
          </w:tcPr>
          <w:p>
            <w:pPr>
              <w:spacing w:lineRule="auto"/>
            </w:pPr>
            <w:r>
              <w:rPr>
                <w:b/>
              </w:rPr>
              <w:t xml:space="preserve">Our Platform</w:t>
            </w:r>
          </w:p>
        </w:tc>
      </w:tr>
      <w:tr>
        <w:trPr>
          <w:cantSplit/>
        </w:trPr>
        <w:tc>
          <w:tcPr>
            <w:tcBorders>
              <w:top w:val="single" w:sz="1" w:space="0" w:color="000000"/>
              <w:bottom w:val="single" w:sz="1" w:space="0" w:color="000000"/>
            </w:tcBorders>
          </w:tcPr>
          <w:p>
            <w:pPr>
              <w:spacing w:lineRule="auto"/>
            </w:pPr>
            <w:r>
              <w:rPr/>
              <w:t xml:space="preserve">Multi-Lender</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Partial</w:t>
            </w:r>
          </w:p>
        </w:tc>
        <w:tc>
          <w:tcPr>
            <w:tcBorders>
              <w:top w:val="single" w:sz="1" w:space="0" w:color="000000"/>
              <w:left w:val="single" w:sz="1" w:space="0" w:color="000000"/>
              <w:bottom w:val="single" w:sz="1" w:space="0" w:color="000000"/>
            </w:tcBorders>
          </w:tcPr>
          <w:p>
            <w:pPr>
              <w:spacing w:lineRule="auto"/>
            </w:pPr>
            <w:r>
              <w:rPr>
                <w:b/>
              </w:rPr>
              <w:t xml:space="preserve">Yes</w:t>
            </w:r>
          </w:p>
        </w:tc>
      </w:tr>
      <w:tr>
        <w:trPr>
          <w:cantSplit/>
        </w:trPr>
        <w:tc>
          <w:tcPr>
            <w:tcBorders>
              <w:top w:val="single" w:sz="1" w:space="0" w:color="000000"/>
              <w:bottom w:val="single" w:sz="1" w:space="0" w:color="000000"/>
            </w:tcBorders>
          </w:tcPr>
          <w:p>
            <w:pPr>
              <w:spacing w:lineRule="auto"/>
            </w:pPr>
            <w:r>
              <w:rPr/>
              <w:t xml:space="preserve">Dealer-Embedded</w:t>
            </w:r>
          </w:p>
        </w:tc>
        <w:tc>
          <w:tcPr>
            <w:tcBorders>
              <w:top w:val="single" w:sz="1" w:space="0" w:color="000000"/>
              <w:left w:val="single" w:sz="1" w:space="0" w:color="000000"/>
              <w:bottom w:val="single" w:sz="1" w:space="0" w:color="000000"/>
            </w:tcBorders>
          </w:tcPr>
          <w:p>
            <w:pPr>
              <w:spacing w:lineRule="auto"/>
            </w:pPr>
            <w:r>
              <w:rPr/>
              <w:t xml:space="preserve">Yes</w:t>
            </w:r>
          </w:p>
        </w:tc>
        <w:tc>
          <w:tcPr>
            <w:tcBorders>
              <w:top w:val="single" w:sz="1" w:space="0" w:color="000000"/>
              <w:left w:val="single" w:sz="1" w:space="0" w:color="000000"/>
              <w:bottom w:val="single" w:sz="1" w:space="0" w:color="000000"/>
            </w:tcBorders>
          </w:tcPr>
          <w:p>
            <w:pPr>
              <w:spacing w:lineRule="auto"/>
            </w:pPr>
            <w:r>
              <w:rPr/>
              <w:t xml:space="preserve">Partial</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b/>
              </w:rPr>
              <w:t xml:space="preserve">Yes</w:t>
            </w:r>
          </w:p>
        </w:tc>
      </w:tr>
      <w:tr>
        <w:trPr>
          <w:cantSplit/>
        </w:trPr>
        <w:tc>
          <w:tcPr>
            <w:tcBorders>
              <w:top w:val="single" w:sz="1" w:space="0" w:color="000000"/>
              <w:bottom w:val="single" w:sz="1" w:space="0" w:color="000000"/>
            </w:tcBorders>
          </w:tcPr>
          <w:p>
            <w:pPr>
              <w:spacing w:lineRule="auto"/>
            </w:pPr>
            <w:r>
              <w:rPr/>
              <w:t xml:space="preserve">Rural-Focused</w:t>
            </w:r>
          </w:p>
        </w:tc>
        <w:tc>
          <w:tcPr>
            <w:tcBorders>
              <w:top w:val="single" w:sz="1" w:space="0" w:color="000000"/>
              <w:left w:val="single" w:sz="1" w:space="0" w:color="000000"/>
              <w:bottom w:val="single" w:sz="1" w:space="0" w:color="000000"/>
            </w:tcBorders>
          </w:tcPr>
          <w:p>
            <w:pPr>
              <w:spacing w:lineRule="auto"/>
            </w:pPr>
            <w:r>
              <w:rPr/>
              <w:t xml:space="preserve">Partial</w:t>
            </w:r>
          </w:p>
        </w:tc>
        <w:tc>
          <w:tcPr>
            <w:tcBorders>
              <w:top w:val="single" w:sz="1" w:space="0" w:color="000000"/>
              <w:left w:val="single" w:sz="1" w:space="0" w:color="000000"/>
              <w:bottom w:val="single" w:sz="1" w:space="0" w:color="000000"/>
            </w:tcBorders>
          </w:tcPr>
          <w:p>
            <w:pPr>
              <w:spacing w:lineRule="auto"/>
            </w:pPr>
            <w:r>
              <w:rPr/>
              <w:t xml:space="preserve">Yes</w:t>
            </w:r>
          </w:p>
        </w:tc>
        <w:tc>
          <w:tcPr>
            <w:tcBorders>
              <w:top w:val="single" w:sz="1" w:space="0" w:color="000000"/>
              <w:left w:val="single" w:sz="1" w:space="0" w:color="000000"/>
              <w:bottom w:val="single" w:sz="1" w:space="0" w:color="000000"/>
            </w:tcBorders>
          </w:tcPr>
          <w:p>
            <w:pPr>
              <w:spacing w:lineRule="auto"/>
            </w:pPr>
            <w:r>
              <w:rPr/>
              <w:t xml:space="preserve">Partial</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b/>
              </w:rPr>
              <w:t xml:space="preserve">Yes</w:t>
            </w:r>
          </w:p>
        </w:tc>
      </w:tr>
      <w:tr>
        <w:trPr>
          <w:cantSplit/>
        </w:trPr>
        <w:tc>
          <w:tcPr>
            <w:tcBorders>
              <w:top w:val="single" w:sz="1" w:space="0" w:color="000000"/>
              <w:bottom w:val="single" w:sz="1" w:space="0" w:color="000000"/>
            </w:tcBorders>
          </w:tcPr>
          <w:p>
            <w:pPr>
              <w:spacing w:lineRule="auto"/>
            </w:pPr>
            <w:r>
              <w:rPr/>
              <w:t xml:space="preserve">Neutral</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Partial</w:t>
            </w:r>
          </w:p>
        </w:tc>
        <w:tc>
          <w:tcPr>
            <w:tcBorders>
              <w:top w:val="single" w:sz="1" w:space="0" w:color="000000"/>
              <w:left w:val="single" w:sz="1" w:space="0" w:color="000000"/>
              <w:bottom w:val="single" w:sz="1" w:space="0" w:color="000000"/>
            </w:tcBorders>
          </w:tcPr>
          <w:p>
            <w:pPr>
              <w:spacing w:lineRule="auto"/>
            </w:pPr>
            <w:r>
              <w:rPr/>
              <w:t xml:space="preserve">Yes</w:t>
            </w:r>
          </w:p>
        </w:tc>
        <w:tc>
          <w:tcPr>
            <w:tcBorders>
              <w:top w:val="single" w:sz="1" w:space="0" w:color="000000"/>
              <w:left w:val="single" w:sz="1" w:space="0" w:color="000000"/>
              <w:bottom w:val="single" w:sz="1" w:space="0" w:color="000000"/>
            </w:tcBorders>
          </w:tcPr>
          <w:p>
            <w:pPr>
              <w:spacing w:lineRule="auto"/>
            </w:pPr>
            <w:r>
              <w:rPr/>
              <w:t xml:space="preserve">Partial</w:t>
            </w:r>
          </w:p>
        </w:tc>
        <w:tc>
          <w:tcPr>
            <w:tcBorders>
              <w:top w:val="single" w:sz="1" w:space="0" w:color="000000"/>
              <w:left w:val="single" w:sz="1" w:space="0" w:color="000000"/>
              <w:bottom w:val="single" w:sz="1" w:space="0" w:color="000000"/>
            </w:tcBorders>
          </w:tcPr>
          <w:p>
            <w:pPr>
              <w:spacing w:lineRule="auto"/>
            </w:pPr>
            <w:r>
              <w:rPr>
                <w:b/>
              </w:rPr>
              <w:t xml:space="preserve">Yes</w:t>
            </w:r>
          </w:p>
        </w:tc>
      </w:tr>
      <w:tr>
        <w:trPr>
          <w:cantSplit/>
        </w:trPr>
        <w:tc>
          <w:tcPr>
            <w:tcBorders>
              <w:top w:val="single" w:sz="1" w:space="0" w:color="000000"/>
              <w:bottom w:val="single" w:sz="1" w:space="0" w:color="000000"/>
            </w:tcBorders>
          </w:tcPr>
          <w:p>
            <w:pPr>
              <w:spacing w:lineRule="auto"/>
            </w:pPr>
            <w:r>
              <w:rPr/>
              <w:t xml:space="preserve">Data Moat</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b/>
              </w:rPr>
              <w:t xml:space="preserve">High</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8" w:name="bm_9_value_proposition_moat"/>
      <w:r>
        <w:rPr>
          <w:b/>
          <w:sz w:val="42"/>
        </w:rPr>
        <w:t xml:space="preserve">9. VALUE PROPOSITION &amp; MOAT</w:t>
      </w:r>
      <w:bookmarkEnd w:id="48"/>
    </w:p>
    <w:p>
      <w:pPr>
        <w:spacing w:line="271" w:before="240" w:lineRule="auto"/>
      </w:pPr>
      <w:bookmarkStart w:id="49" w:name="core_value_propositions"/>
      <w:r>
        <w:rPr>
          <w:b/>
          <w:sz w:val="33"/>
        </w:rPr>
        <w:t xml:space="preserve">Core Value Propositions</w:t>
      </w:r>
      <w:bookmarkEnd w:id="49"/>
    </w:p>
    <w:p>
      <w:pPr>
        <w:spacing w:after="210" w:lineRule="auto"/>
      </w:pPr>
      <w:r>
        <w:rPr>
          <w:b/>
        </w:rPr>
        <w:t xml:space="preserve">For Farmers:</w:t>
      </w:r>
    </w:p>
    <w:p>
      <w:pPr>
        <w:numPr>
          <w:ilvl w:val="0"/>
          <w:numId w:val="31"/>
        </w:numPr>
        <w:spacing w:lineRule="auto"/>
      </w:pPr>
      <w:r>
        <w:rPr>
          <w:rFonts w:eastAsia="Georgia" w:cs="Georgia" w:ascii="Georgia" w:hAnsi="Georgia"/>
        </w:rPr>
        <w:t xml:space="preserve">Faster approvals (40–50% reduction via standardized applications)</w:t>
      </w:r>
    </w:p>
    <w:p>
      <w:pPr>
        <w:numPr>
          <w:ilvl w:val="0"/>
          <w:numId w:val="31"/>
        </w:numPr>
        <w:spacing w:lineRule="auto"/>
      </w:pPr>
      <w:r>
        <w:rPr/>
        <w:t xml:space="preserve">Transparent lender choice (no single-lender dependency)</w:t>
      </w:r>
    </w:p>
    <w:p>
      <w:pPr>
        <w:numPr>
          <w:ilvl w:val="0"/>
          <w:numId w:val="31"/>
        </w:numPr>
        <w:spacing w:lineRule="auto"/>
      </w:pPr>
      <w:r>
        <w:rPr/>
        <w:t xml:space="preserve">Competitive rate shopping across 5+ lenders</w:t>
      </w:r>
    </w:p>
    <w:p>
      <w:pPr>
        <w:numPr>
          <w:ilvl w:val="0"/>
          <w:numId w:val="31"/>
        </w:numPr>
        <w:spacing w:lineRule="auto"/>
      </w:pPr>
      <w:r>
        <w:rPr/>
        <w:t xml:space="preserve">Mobile-friendly experience suitable for rural environments</w:t>
      </w:r>
    </w:p>
    <w:p>
      <w:pPr>
        <w:spacing w:after="210" w:lineRule="auto"/>
      </w:pPr>
      <w:r>
        <w:rPr>
          <w:b/>
        </w:rPr>
        <w:t xml:space="preserve">For Dealers (Primary Adoption Engine):</w:t>
      </w:r>
    </w:p>
    <w:p>
      <w:pPr>
        <w:numPr>
          <w:ilvl w:val="0"/>
          <w:numId w:val="32"/>
        </w:numPr>
        <w:spacing w:lineRule="auto"/>
      </w:pPr>
      <w:r>
        <w:rPr/>
        <w:t xml:space="preserve">One workflow for all lenders (replace five portals with one)</w:t>
      </w:r>
    </w:p>
    <w:p>
      <w:pPr>
        <w:numPr>
          <w:ilvl w:val="0"/>
          <w:numId w:val="32"/>
        </w:numPr>
        <w:spacing w:lineRule="auto"/>
      </w:pPr>
      <w:r>
        <w:rPr>
          <w:rFonts w:eastAsia="Georgia" w:cs="Georgia" w:ascii="Georgia" w:hAnsi="Georgia"/>
        </w:rPr>
        <w:t xml:space="preserve">30–40% reduction in administrative time per deal</w:t>
      </w:r>
    </w:p>
    <w:p>
      <w:pPr>
        <w:numPr>
          <w:ilvl w:val="0"/>
          <w:numId w:val="32"/>
        </w:numPr>
        <w:spacing w:lineRule="auto"/>
      </w:pPr>
      <w:r>
        <w:rPr>
          <w:rFonts w:eastAsia="Georgia" w:cs="Georgia" w:ascii="Georgia" w:hAnsi="Georgia"/>
        </w:rPr>
        <w:t xml:space="preserve">15–20% increase in deal conversion due to faster approvals</w:t>
      </w:r>
    </w:p>
    <w:p>
      <w:pPr>
        <w:numPr>
          <w:ilvl w:val="0"/>
          <w:numId w:val="32"/>
        </w:numPr>
        <w:spacing w:lineRule="auto"/>
      </w:pPr>
      <w:r>
        <w:rPr/>
        <w:t xml:space="preserve">Real-time dashboard showing loan status, required docs, and approvals</w:t>
      </w:r>
    </w:p>
    <w:p>
      <w:pPr>
        <w:numPr>
          <w:ilvl w:val="0"/>
          <w:numId w:val="32"/>
        </w:numPr>
        <w:spacing w:lineRule="auto"/>
      </w:pPr>
      <w:r>
        <w:rPr/>
        <w:t xml:space="preserve">Ability to offer competitive rates, improving customer satisfaction</w:t>
      </w:r>
    </w:p>
    <w:p>
      <w:pPr>
        <w:spacing w:after="210" w:lineRule="auto"/>
      </w:pPr>
      <w:r>
        <w:rPr>
          <w:b/>
        </w:rPr>
        <w:t xml:space="preserve">For Lenders:</w:t>
      </w:r>
    </w:p>
    <w:p>
      <w:pPr>
        <w:numPr>
          <w:ilvl w:val="0"/>
          <w:numId w:val="33"/>
        </w:numPr>
        <w:spacing w:lineRule="auto"/>
      </w:pPr>
      <w:r>
        <w:rPr>
          <w:rFonts w:eastAsia="Georgia" w:cs="Georgia" w:ascii="Georgia" w:hAnsi="Georgia"/>
        </w:rPr>
        <w:t xml:space="preserve">Standardized, complete digital applications reduce underwriting time by 20–30%</w:t>
      </w:r>
    </w:p>
    <w:p>
      <w:pPr>
        <w:numPr>
          <w:ilvl w:val="0"/>
          <w:numId w:val="33"/>
        </w:numPr>
        <w:spacing w:lineRule="auto"/>
      </w:pPr>
      <w:r>
        <w:rPr>
          <w:rFonts w:eastAsia="Georgia" w:cs="Georgia" w:ascii="Georgia" w:hAnsi="Georgia"/>
        </w:rPr>
        <w:t xml:space="preserve">Lower cost of acquisition: $200–300 per loan in rework reduction</w:t>
      </w:r>
    </w:p>
    <w:p>
      <w:pPr>
        <w:numPr>
          <w:ilvl w:val="0"/>
          <w:numId w:val="33"/>
        </w:numPr>
        <w:spacing w:lineRule="auto"/>
      </w:pPr>
      <w:r>
        <w:rPr/>
        <w:t xml:space="preserve">Access to new borrower segments (underserved rural markets)</w:t>
      </w:r>
    </w:p>
    <w:p>
      <w:pPr>
        <w:numPr>
          <w:ilvl w:val="0"/>
          <w:numId w:val="33"/>
        </w:numPr>
        <w:spacing w:lineRule="auto"/>
      </w:pPr>
      <w:r>
        <w:rPr/>
        <w:t xml:space="preserve">Better loan-performance insights through anonymized, aggregated analytics</w:t>
      </w:r>
    </w:p>
    <w:p>
      <w:pPr>
        <w:numPr>
          <w:ilvl w:val="0"/>
          <w:numId w:val="33"/>
        </w:numPr>
        <w:spacing w:lineRule="auto"/>
      </w:pPr>
      <w:r>
        <w:rPr/>
        <w:t xml:space="preserve">Higher application completion rates (fewer incomplete submissions)</w:t>
      </w:r>
    </w:p>
    <w:p>
      <w:pPr>
        <w:spacing w:after="210" w:lineRule="auto"/>
      </w:pPr>
      <w:r>
        <w:rPr>
          <w:b/>
        </w:rPr>
        <w:t xml:space="preserve">For OEMs:</w:t>
      </w:r>
    </w:p>
    <w:p>
      <w:pPr>
        <w:numPr>
          <w:ilvl w:val="0"/>
          <w:numId w:val="34"/>
        </w:numPr>
        <w:spacing w:lineRule="auto"/>
      </w:pPr>
      <w:r>
        <w:rPr/>
        <w:t xml:space="preserve">Increased dealer throughput and financing conversion</w:t>
      </w:r>
    </w:p>
    <w:p>
      <w:pPr>
        <w:numPr>
          <w:ilvl w:val="0"/>
          <w:numId w:val="34"/>
        </w:numPr>
        <w:spacing w:lineRule="auto"/>
      </w:pPr>
      <w:r>
        <w:rPr/>
        <w:t xml:space="preserve">Visibility into equipment financing trends</w:t>
      </w:r>
    </w:p>
    <w:p>
      <w:pPr>
        <w:numPr>
          <w:ilvl w:val="0"/>
          <w:numId w:val="34"/>
        </w:numPr>
        <w:spacing w:lineRule="auto"/>
      </w:pPr>
      <w:r>
        <w:rPr/>
        <w:t xml:space="preserve">Support for incentive financing programs</w:t>
      </w:r>
    </w:p>
    <w:p>
      <w:pPr>
        <w:spacing w:line="271" w:before="240" w:lineRule="auto"/>
      </w:pPr>
      <w:bookmarkStart w:id="50" w:name="defensibility_long_term_moat"/>
      <w:r>
        <w:rPr>
          <w:b/>
          <w:sz w:val="33"/>
        </w:rPr>
        <w:t xml:space="preserve">Defensibility &amp; Long-Term Moat</w:t>
      </w:r>
      <w:bookmarkEnd w:id="50"/>
    </w:p>
    <w:p>
      <w:pPr>
        <w:spacing w:after="210" w:lineRule="auto"/>
      </w:pPr>
      <w:r>
        <w:rPr>
          <w:b/>
        </w:rPr>
        <w:t xml:space="preserve">1. Multi-Lender Neutrality (Primary Moat)</w:t>
      </w:r>
    </w:p>
    <w:p>
      <w:pPr>
        <w:spacing w:after="210" w:lineRule="auto"/>
      </w:pPr>
      <w:r>
        <w:rPr/>
        <w:t xml:space="preserve">Captives cannot be neutral. Banks cannot integrate competitors. Farm Credit serves specific territories.</w:t>
      </w:r>
    </w:p>
    <w:p>
      <w:pPr>
        <w:spacing w:after="210" w:lineRule="auto"/>
      </w:pPr>
      <w:r>
        <w:rPr/>
        <w:t xml:space="preserve">Our platform's neutrality makes it the only viable hub connecting all lender types without bias. </w:t>
      </w:r>
      <w:r>
        <w:rPr>
          <w:b/>
        </w:rPr>
        <w:t xml:space="preserve">No competitor can replicate.</w:t>
      </w:r>
    </w:p>
    <w:p>
      <w:pPr>
        <w:spacing w:after="210" w:lineRule="auto"/>
      </w:pPr>
      <w:r>
        <w:rPr>
          <w:b/>
        </w:rPr>
        <w:t xml:space="preserve">2. Data Network Effects (Secondary Moat)</w:t>
      </w:r>
    </w:p>
    <w:p>
      <w:pPr>
        <w:spacing w:after="210" w:lineRule="auto"/>
      </w:pPr>
      <w:r>
        <w:rPr/>
        <w:t xml:space="preserve">Each application contributes granular data:</w:t>
      </w:r>
    </w:p>
    <w:p>
      <w:pPr>
        <w:numPr>
          <w:ilvl w:val="0"/>
          <w:numId w:val="35"/>
        </w:numPr>
        <w:spacing w:lineRule="auto"/>
      </w:pPr>
      <w:r>
        <w:rPr/>
        <w:t xml:space="preserve">Borrower demographics, farm structure, income patterns</w:t>
      </w:r>
    </w:p>
    <w:p>
      <w:pPr>
        <w:numPr>
          <w:ilvl w:val="0"/>
          <w:numId w:val="35"/>
        </w:numPr>
        <w:spacing w:lineRule="auto"/>
      </w:pPr>
      <w:r>
        <w:rPr/>
        <w:t xml:space="preserve">Collateral types, equipment usage, maintenance profiles</w:t>
      </w:r>
    </w:p>
    <w:p>
      <w:pPr>
        <w:numPr>
          <w:ilvl w:val="0"/>
          <w:numId w:val="35"/>
        </w:numPr>
        <w:spacing w:lineRule="auto"/>
      </w:pPr>
      <w:r>
        <w:rPr/>
        <w:t xml:space="preserve">Approval/decline patterns by lender</w:t>
      </w:r>
    </w:p>
    <w:p>
      <w:pPr>
        <w:numPr>
          <w:ilvl w:val="0"/>
          <w:numId w:val="35"/>
        </w:numPr>
        <w:spacing w:lineRule="auto"/>
      </w:pPr>
      <w:r>
        <w:rPr/>
        <w:t xml:space="preserve">Turnaround times and decision logic</w:t>
      </w:r>
    </w:p>
    <w:p>
      <w:pPr>
        <w:spacing w:after="210" w:lineRule="auto"/>
      </w:pPr>
      <w:r>
        <w:rPr/>
        <w:t xml:space="preserve">This dataset becomes proprietary routing and underwriting asset. Incumbent lenders would need 5+ years to accumulate similar data.</w:t>
      </w:r>
    </w:p>
    <w:p>
      <w:pPr>
        <w:spacing w:after="210" w:lineRule="auto"/>
      </w:pPr>
      <w:r>
        <w:rPr>
          <w:b/>
        </w:rPr>
        <w:t xml:space="preserve">3. High Switching Costs for Dealers</w:t>
      </w:r>
    </w:p>
    <w:p>
      <w:pPr>
        <w:spacing w:after="210" w:lineRule="auto"/>
      </w:pPr>
      <w:r>
        <w:rPr/>
        <w:t xml:space="preserve">Once dealers adopt unified workflows, reverting to multiple portals is highly unlikely:</w:t>
      </w:r>
    </w:p>
    <w:p>
      <w:pPr>
        <w:numPr>
          <w:ilvl w:val="0"/>
          <w:numId w:val="36"/>
        </w:numPr>
        <w:spacing w:lineRule="auto"/>
      </w:pPr>
      <w:r>
        <w:rPr/>
        <w:t xml:space="preserve">Reduced administrative burden (ingrained in operations)</w:t>
      </w:r>
    </w:p>
    <w:p>
      <w:pPr>
        <w:numPr>
          <w:ilvl w:val="0"/>
          <w:numId w:val="36"/>
        </w:numPr>
        <w:spacing w:lineRule="auto"/>
      </w:pPr>
      <w:r>
        <w:rPr/>
        <w:t xml:space="preserve">Higher close rates (trained staff, customer expectations)</w:t>
      </w:r>
    </w:p>
    <w:p>
      <w:pPr>
        <w:numPr>
          <w:ilvl w:val="0"/>
          <w:numId w:val="36"/>
        </w:numPr>
        <w:spacing w:lineRule="auto"/>
      </w:pPr>
      <w:r>
        <w:rPr/>
        <w:t xml:space="preserve">Streamlined seasonal workflows</w:t>
      </w:r>
    </w:p>
    <w:p>
      <w:pPr>
        <w:numPr>
          <w:ilvl w:val="0"/>
          <w:numId w:val="36"/>
        </w:numPr>
        <w:spacing w:lineRule="auto"/>
      </w:pPr>
      <w:r>
        <w:rPr/>
        <w:t xml:space="preserve">Similar to DMS (Dealer Management System) stickiness</w:t>
      </w:r>
    </w:p>
    <w:p>
      <w:pPr>
        <w:spacing w:after="210" w:lineRule="auto"/>
      </w:pPr>
      <w:r>
        <w:rPr>
          <w:b/>
        </w:rPr>
        <w:t xml:space="preserve">4. Integrations as Moat</w:t>
      </w:r>
    </w:p>
    <w:p>
      <w:pPr>
        <w:spacing w:after="210" w:lineRule="auto"/>
      </w:pPr>
      <w:r>
        <w:rPr>
          <w:rFonts w:eastAsia="Georgia" w:cs="Georgia" w:ascii="Georgia" w:hAnsi="Georgia"/>
        </w:rPr>
        <w:t xml:space="preserve">Lender integrations—APIs, document handling, decision systems—are expensive and time-consuming to build (3–6 months per lender integration). Once completed, they become long-term infrastructure advantages. Each new lender added strengthens the network for all dealers.</w:t>
      </w:r>
    </w:p>
    <w:p>
      <w:pPr>
        <w:spacing w:after="210" w:lineRule="auto"/>
      </w:pPr>
      <w:r>
        <w:rPr>
          <w:b/>
        </w:rPr>
        <w:t xml:space="preserve">5. Rural-Focused Underwriting Intelligence</w:t>
      </w:r>
    </w:p>
    <w:p>
      <w:pPr>
        <w:spacing w:after="210" w:lineRule="auto"/>
      </w:pPr>
      <w:r>
        <w:rPr/>
        <w:t xml:space="preserve">As data accumulates, the platform develops:</w:t>
      </w:r>
    </w:p>
    <w:p>
      <w:pPr>
        <w:numPr>
          <w:ilvl w:val="0"/>
          <w:numId w:val="37"/>
        </w:numPr>
        <w:spacing w:lineRule="auto"/>
      </w:pPr>
      <w:r>
        <w:rPr/>
        <w:t xml:space="preserve">Region-specific collateral valuation</w:t>
      </w:r>
    </w:p>
    <w:p>
      <w:pPr>
        <w:numPr>
          <w:ilvl w:val="0"/>
          <w:numId w:val="37"/>
        </w:numPr>
        <w:spacing w:lineRule="auto"/>
      </w:pPr>
      <w:r>
        <w:rPr/>
        <w:t xml:space="preserve">Farm-size-adjusted risk scoring</w:t>
      </w:r>
    </w:p>
    <w:p>
      <w:pPr>
        <w:numPr>
          <w:ilvl w:val="0"/>
          <w:numId w:val="37"/>
        </w:numPr>
        <w:spacing w:lineRule="auto"/>
      </w:pPr>
      <w:r>
        <w:rPr/>
        <w:t xml:space="preserve">Equipment-type risk modeling</w:t>
      </w:r>
    </w:p>
    <w:p>
      <w:pPr>
        <w:numPr>
          <w:ilvl w:val="0"/>
          <w:numId w:val="37"/>
        </w:numPr>
        <w:spacing w:lineRule="auto"/>
      </w:pPr>
      <w:r>
        <w:rPr/>
        <w:t xml:space="preserve">Seasonal demand prediction</w:t>
      </w:r>
    </w:p>
    <w:p>
      <w:pPr>
        <w:spacing w:after="210" w:lineRule="auto"/>
      </w:pPr>
      <w:r>
        <w:rPr/>
        <w:t xml:space="preserve">Incumbents would need years of data to match this capability.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bm_10_product_platform_architecture"/>
      <w:r>
        <w:rPr>
          <w:b/>
          <w:sz w:val="42"/>
        </w:rPr>
        <w:t xml:space="preserve">10. PRODUCT &amp; PLATFORM ARCHITECTURE</w:t>
      </w:r>
      <w:bookmarkEnd w:id="51"/>
    </w:p>
    <w:p>
      <w:pPr>
        <w:spacing w:line="271" w:before="240" w:lineRule="auto"/>
      </w:pPr>
      <w:bookmarkStart w:id="52" w:name="core_product_components"/>
      <w:r>
        <w:rPr>
          <w:b/>
          <w:sz w:val="33"/>
        </w:rPr>
        <w:t xml:space="preserve">Core Product Components</w:t>
      </w:r>
      <w:bookmarkEnd w:id="52"/>
    </w:p>
    <w:p>
      <w:pPr>
        <w:spacing w:after="210" w:lineRule="auto"/>
      </w:pPr>
      <w:r>
        <w:rPr>
          <w:b/>
        </w:rPr>
        <w:t xml:space="preserve">a. Dealer Portal (Primary Workflow Hub)</w:t>
      </w:r>
    </w:p>
    <w:p>
      <w:pPr>
        <w:numPr>
          <w:ilvl w:val="0"/>
          <w:numId w:val="38"/>
        </w:numPr>
        <w:spacing w:lineRule="auto"/>
      </w:pPr>
      <w:r>
        <w:rPr>
          <w:rFonts w:eastAsia="Georgia" w:cs="Georgia" w:ascii="Georgia" w:hAnsi="Georgia"/>
        </w:rPr>
        <w:t xml:space="preserve">Unified application entry for all lenders (replaces 5–15 separate portals)</w:t>
      </w:r>
    </w:p>
    <w:p>
      <w:pPr>
        <w:numPr>
          <w:ilvl w:val="0"/>
          <w:numId w:val="38"/>
        </w:numPr>
        <w:spacing w:lineRule="auto"/>
      </w:pPr>
      <w:r>
        <w:rPr/>
        <w:t xml:space="preserve">Automatic population of borrower, equipment, and trade-in data (from DMS integrations)</w:t>
      </w:r>
    </w:p>
    <w:p>
      <w:pPr>
        <w:numPr>
          <w:ilvl w:val="0"/>
          <w:numId w:val="38"/>
        </w:numPr>
        <w:spacing w:lineRule="auto"/>
      </w:pPr>
      <w:r>
        <w:rPr/>
        <w:t xml:space="preserve">Dynamic document checklist based on lender requirements</w:t>
      </w:r>
    </w:p>
    <w:p>
      <w:pPr>
        <w:numPr>
          <w:ilvl w:val="0"/>
          <w:numId w:val="38"/>
        </w:numPr>
        <w:spacing w:lineRule="auto"/>
      </w:pPr>
      <w:r>
        <w:rPr>
          <w:rFonts w:eastAsia="Georgia" w:cs="Georgia" w:ascii="Georgia" w:hAnsi="Georgia"/>
        </w:rPr>
        <w:t xml:space="preserve">Real-time loan status tracking (submitted → pending docs → underwriting → approved)</w:t>
      </w:r>
    </w:p>
    <w:p>
      <w:pPr>
        <w:numPr>
          <w:ilvl w:val="0"/>
          <w:numId w:val="38"/>
        </w:numPr>
        <w:spacing w:lineRule="auto"/>
      </w:pPr>
      <w:r>
        <w:rPr/>
        <w:t xml:space="preserve">Multi-user permissions for sales teams, finance managers, and admins</w:t>
      </w:r>
    </w:p>
    <w:p>
      <w:pPr>
        <w:numPr>
          <w:ilvl w:val="0"/>
          <w:numId w:val="38"/>
        </w:numPr>
        <w:spacing w:lineRule="auto"/>
      </w:pPr>
      <w:r>
        <w:rPr/>
        <w:t xml:space="preserve">Mobile-responsive design for dealership floor use</w:t>
      </w:r>
    </w:p>
    <w:p>
      <w:pPr>
        <w:spacing w:after="210" w:lineRule="auto"/>
      </w:pPr>
      <w:r>
        <w:rPr>
          <w:b/>
        </w:rPr>
        <w:t xml:space="preserve">b. Borrower Application Experience</w:t>
      </w:r>
    </w:p>
    <w:p>
      <w:pPr>
        <w:numPr>
          <w:ilvl w:val="0"/>
          <w:numId w:val="39"/>
        </w:numPr>
        <w:spacing w:lineRule="auto"/>
      </w:pPr>
      <w:r>
        <w:rPr/>
        <w:t xml:space="preserve">Mobile-friendly digital application (suitable for rural broadband conditions)</w:t>
      </w:r>
    </w:p>
    <w:p>
      <w:pPr>
        <w:numPr>
          <w:ilvl w:val="0"/>
          <w:numId w:val="39"/>
        </w:numPr>
        <w:spacing w:lineRule="auto"/>
      </w:pPr>
      <w:r>
        <w:rPr/>
        <w:t xml:space="preserve">Smart pre-fill from dealer data</w:t>
      </w:r>
    </w:p>
    <w:p>
      <w:pPr>
        <w:numPr>
          <w:ilvl w:val="0"/>
          <w:numId w:val="39"/>
        </w:numPr>
        <w:spacing w:lineRule="auto"/>
      </w:pPr>
      <w:r>
        <w:rPr/>
        <w:t xml:space="preserve">Secure document upload (bank statements, tax returns, IDs)</w:t>
      </w:r>
    </w:p>
    <w:p>
      <w:pPr>
        <w:numPr>
          <w:ilvl w:val="0"/>
          <w:numId w:val="39"/>
        </w:numPr>
        <w:spacing w:lineRule="auto"/>
      </w:pPr>
      <w:r>
        <w:rPr/>
        <w:t xml:space="preserve">Real-time notifications and status updates</w:t>
      </w:r>
    </w:p>
    <w:p>
      <w:pPr>
        <w:numPr>
          <w:ilvl w:val="0"/>
          <w:numId w:val="39"/>
        </w:numPr>
        <w:spacing w:lineRule="auto"/>
      </w:pPr>
      <w:r>
        <w:rPr/>
        <w:t xml:space="preserve">Explainable UI (why are we asking for X; how does it affect approval)</w:t>
      </w:r>
    </w:p>
    <w:p>
      <w:pPr>
        <w:spacing w:after="210" w:lineRule="auto"/>
      </w:pPr>
      <w:r>
        <w:rPr>
          <w:b/>
        </w:rPr>
        <w:t xml:space="preserve">c. Lender Console</w:t>
      </w:r>
    </w:p>
    <w:p>
      <w:pPr>
        <w:numPr>
          <w:ilvl w:val="0"/>
          <w:numId w:val="40"/>
        </w:numPr>
        <w:spacing w:lineRule="auto"/>
      </w:pPr>
      <w:r>
        <w:rPr/>
        <w:t xml:space="preserve">Standardized application package for all submitted deals</w:t>
      </w:r>
    </w:p>
    <w:p>
      <w:pPr>
        <w:numPr>
          <w:ilvl w:val="0"/>
          <w:numId w:val="40"/>
        </w:numPr>
        <w:spacing w:lineRule="auto"/>
      </w:pPr>
      <w:r>
        <w:rPr/>
        <w:t xml:space="preserve">Automated document ingestion and organization</w:t>
      </w:r>
    </w:p>
    <w:p>
      <w:pPr>
        <w:numPr>
          <w:ilvl w:val="0"/>
          <w:numId w:val="40"/>
        </w:numPr>
        <w:spacing w:lineRule="auto"/>
      </w:pPr>
      <w:r>
        <w:rPr/>
        <w:t xml:space="preserve">Underwriting notes, decision fields, and communication tools</w:t>
      </w:r>
    </w:p>
    <w:p>
      <w:pPr>
        <w:numPr>
          <w:ilvl w:val="0"/>
          <w:numId w:val="40"/>
        </w:numPr>
        <w:spacing w:lineRule="auto"/>
      </w:pPr>
      <w:r>
        <w:rPr/>
        <w:t xml:space="preserve">Performance analytics by geography, borrower type, and equipment type</w:t>
      </w:r>
    </w:p>
    <w:p>
      <w:pPr>
        <w:numPr>
          <w:ilvl w:val="0"/>
          <w:numId w:val="40"/>
        </w:numPr>
        <w:spacing w:lineRule="auto"/>
      </w:pPr>
      <w:r>
        <w:rPr/>
        <w:t xml:space="preserve">Batch approval workflows for high-velocity lenders</w:t>
      </w:r>
    </w:p>
    <w:p>
      <w:pPr>
        <w:spacing w:after="210" w:lineRule="auto"/>
      </w:pPr>
      <w:r>
        <w:rPr>
          <w:b/>
        </w:rPr>
        <w:t xml:space="preserve">d. Intelligent Routing Engine</w:t>
      </w:r>
      <w:r>
        <w:rPr/>
        <w:t xml:space="preserve"> (Core Differentiator)</w:t>
      </w:r>
    </w:p>
    <w:p>
      <w:pPr>
        <w:spacing w:after="210" w:lineRule="auto"/>
      </w:pPr>
      <w:r>
        <w:rPr/>
        <w:t xml:space="preserve">The routing engine is the system's intelligence layer, assigning each application to the most appropriate lenders.</w:t>
      </w:r>
    </w:p>
    <w:p>
      <w:pPr>
        <w:spacing w:after="210" w:lineRule="auto"/>
      </w:pPr>
      <w:r>
        <w:rPr>
          <w:b/>
        </w:rPr>
        <w:t xml:space="preserve">Routing Criteria:</w:t>
      </w:r>
    </w:p>
    <w:p>
      <w:pPr>
        <w:numPr>
          <w:ilvl w:val="0"/>
          <w:numId w:val="41"/>
        </w:numPr>
        <w:spacing w:lineRule="auto"/>
      </w:pPr>
      <w:r>
        <w:rPr/>
        <w:t xml:space="preserve">Borrower attributes (farm size, credit profile, income patterns, geography)</w:t>
      </w:r>
    </w:p>
    <w:p>
      <w:pPr>
        <w:numPr>
          <w:ilvl w:val="0"/>
          <w:numId w:val="41"/>
        </w:numPr>
        <w:spacing w:lineRule="auto"/>
      </w:pPr>
      <w:r>
        <w:rPr/>
        <w:t xml:space="preserve">Equipment type, age, collateral value</w:t>
      </w:r>
    </w:p>
    <w:p>
      <w:pPr>
        <w:numPr>
          <w:ilvl w:val="0"/>
          <w:numId w:val="41"/>
        </w:numPr>
        <w:spacing w:lineRule="auto"/>
      </w:pPr>
      <w:r>
        <w:rPr/>
        <w:t xml:space="preserve">Lender appetite, rates, credit box</w:t>
      </w:r>
    </w:p>
    <w:p>
      <w:pPr>
        <w:numPr>
          <w:ilvl w:val="0"/>
          <w:numId w:val="41"/>
        </w:numPr>
        <w:spacing w:lineRule="auto"/>
      </w:pPr>
      <w:r>
        <w:rPr/>
        <w:t xml:space="preserve">Historical approval patterns by lender</w:t>
      </w:r>
    </w:p>
    <w:p>
      <w:pPr>
        <w:numPr>
          <w:ilvl w:val="0"/>
          <w:numId w:val="41"/>
        </w:numPr>
        <w:spacing w:lineRule="auto"/>
      </w:pPr>
      <w:r>
        <w:rPr/>
        <w:t xml:space="preserve">Regional factors and agricultural segment</w:t>
      </w:r>
    </w:p>
    <w:p>
      <w:pPr>
        <w:numPr>
          <w:ilvl w:val="0"/>
          <w:numId w:val="41"/>
        </w:numPr>
        <w:spacing w:lineRule="auto"/>
      </w:pPr>
      <w:r>
        <w:rPr/>
        <w:t xml:space="preserve">Seasonal demand patterns</w:t>
      </w:r>
    </w:p>
    <w:p>
      <w:pPr>
        <w:spacing w:after="210" w:lineRule="auto"/>
      </w:pPr>
      <w:r>
        <w:rPr>
          <w:b/>
        </w:rPr>
        <w:t xml:space="preserve">Over time</w:t>
      </w:r>
      <w:r>
        <w:rPr>
          <w:rFonts w:eastAsia="Georgia" w:cs="Georgia" w:ascii="Georgia" w:hAnsi="Georgia"/>
        </w:rPr>
        <w:t xml:space="preserve">, data accumulation enhances routing accuracy—forming a defensible moat.</w:t>
      </w:r>
    </w:p>
    <w:p>
      <w:pPr>
        <w:spacing w:after="210" w:lineRule="auto"/>
      </w:pPr>
      <w:r>
        <w:rPr>
          <w:b/>
        </w:rPr>
        <w:t xml:space="preserve">e. Document Management &amp; Compliance Layer</w:t>
      </w:r>
    </w:p>
    <w:p>
      <w:pPr>
        <w:numPr>
          <w:ilvl w:val="0"/>
          <w:numId w:val="42"/>
        </w:numPr>
        <w:spacing w:lineRule="auto"/>
      </w:pPr>
      <w:r>
        <w:rPr/>
        <w:t xml:space="preserve">Automated collection of mandatory disclosures</w:t>
      </w:r>
    </w:p>
    <w:p>
      <w:pPr>
        <w:numPr>
          <w:ilvl w:val="0"/>
          <w:numId w:val="42"/>
        </w:numPr>
        <w:spacing w:lineRule="auto"/>
      </w:pPr>
      <w:r>
        <w:rPr/>
        <w:t xml:space="preserve">ECOA and Reg B timestamp tracking</w:t>
      </w:r>
    </w:p>
    <w:p>
      <w:pPr>
        <w:numPr>
          <w:ilvl w:val="0"/>
          <w:numId w:val="42"/>
        </w:numPr>
        <w:spacing w:lineRule="auto"/>
      </w:pPr>
      <w:r>
        <w:rPr/>
        <w:t xml:space="preserve">Audit-ready documentation bundles</w:t>
      </w:r>
    </w:p>
    <w:p>
      <w:pPr>
        <w:numPr>
          <w:ilvl w:val="0"/>
          <w:numId w:val="42"/>
        </w:numPr>
        <w:spacing w:lineRule="auto"/>
      </w:pPr>
      <w:r>
        <w:rPr/>
        <w:t xml:space="preserve">Secure storage and encrypted data transmission</w:t>
      </w:r>
    </w:p>
    <w:p>
      <w:pPr>
        <w:numPr>
          <w:ilvl w:val="0"/>
          <w:numId w:val="42"/>
        </w:numPr>
        <w:spacing w:lineRule="auto"/>
      </w:pPr>
      <w:r>
        <w:rPr/>
        <w:t xml:space="preserve">Compliance checklist automation</w:t>
      </w:r>
    </w:p>
    <w:p>
      <w:pPr>
        <w:spacing w:after="210" w:lineRule="auto"/>
      </w:pPr>
      <w:r>
        <w:rPr>
          <w:b/>
        </w:rPr>
        <w:t xml:space="preserve">f. Integrations Layer</w:t>
      </w:r>
      <w:r>
        <w:rPr/>
        <w:br w:type="textWrapping"/>
      </w:r>
      <w:r>
        <w:rPr/>
        <w:t xml:space="preserve">In order to scale nationally, the platform integrates with:</w:t>
      </w:r>
    </w:p>
    <w:p>
      <w:pPr>
        <w:numPr>
          <w:ilvl w:val="0"/>
          <w:numId w:val="43"/>
        </w:numPr>
        <w:spacing w:lineRule="auto"/>
      </w:pPr>
      <w:r>
        <w:rPr/>
        <w:t xml:space="preserve">Lender APIs and portals (submission, status updates, decisions)</w:t>
      </w:r>
    </w:p>
    <w:p>
      <w:pPr>
        <w:numPr>
          <w:ilvl w:val="0"/>
          <w:numId w:val="43"/>
        </w:numPr>
        <w:spacing w:lineRule="auto"/>
      </w:pPr>
      <w:r>
        <w:rPr/>
        <w:t xml:space="preserve">Dealer Management Systems (Case IH, John Deere, Trimble, etc.)</w:t>
      </w:r>
    </w:p>
    <w:p>
      <w:pPr>
        <w:numPr>
          <w:ilvl w:val="0"/>
          <w:numId w:val="43"/>
        </w:numPr>
        <w:spacing w:lineRule="auto"/>
      </w:pPr>
      <w:r>
        <w:rPr/>
        <w:t xml:space="preserve">OEM incentive systems</w:t>
      </w:r>
    </w:p>
    <w:p>
      <w:pPr>
        <w:numPr>
          <w:ilvl w:val="0"/>
          <w:numId w:val="43"/>
        </w:numPr>
        <w:spacing w:lineRule="auto"/>
      </w:pPr>
      <w:r>
        <w:rPr/>
        <w:t xml:space="preserve">Identity verification and fraud detection (Socure, Jumio)</w:t>
      </w:r>
    </w:p>
    <w:p>
      <w:pPr>
        <w:numPr>
          <w:ilvl w:val="0"/>
          <w:numId w:val="43"/>
        </w:numPr>
        <w:spacing w:lineRule="auto"/>
      </w:pPr>
      <w:r>
        <w:rPr/>
        <w:t xml:space="preserve">Credit bureaus (Equifax, Experian)</w:t>
      </w:r>
    </w:p>
    <w:p>
      <w:pPr>
        <w:spacing w:after="210" w:lineRule="auto"/>
      </w:pPr>
      <w:r>
        <w:rPr>
          <w:b/>
        </w:rPr>
        <w:t xml:space="preserve">g. Data &amp; Analytics Layer</w:t>
      </w:r>
    </w:p>
    <w:p>
      <w:pPr>
        <w:spacing w:after="210" w:lineRule="auto"/>
      </w:pPr>
      <w:r>
        <w:rPr>
          <w:b/>
        </w:rPr>
        <w:t xml:space="preserve">For Lenders:</w:t>
      </w:r>
    </w:p>
    <w:p>
      <w:pPr>
        <w:numPr>
          <w:ilvl w:val="0"/>
          <w:numId w:val="44"/>
        </w:numPr>
        <w:spacing w:lineRule="auto"/>
      </w:pPr>
      <w:r>
        <w:rPr/>
        <w:t xml:space="preserve">Approval rates by farm segment</w:t>
      </w:r>
    </w:p>
    <w:p>
      <w:pPr>
        <w:numPr>
          <w:ilvl w:val="0"/>
          <w:numId w:val="44"/>
        </w:numPr>
        <w:spacing w:lineRule="auto"/>
      </w:pPr>
      <w:r>
        <w:rPr/>
        <w:t xml:space="preserve">Collateral trends and equipment values</w:t>
      </w:r>
    </w:p>
    <w:p>
      <w:pPr>
        <w:numPr>
          <w:ilvl w:val="0"/>
          <w:numId w:val="44"/>
        </w:numPr>
        <w:spacing w:lineRule="auto"/>
      </w:pPr>
      <w:r>
        <w:rPr/>
        <w:t xml:space="preserve">Dealer performance metrics</w:t>
      </w:r>
    </w:p>
    <w:p>
      <w:pPr>
        <w:numPr>
          <w:ilvl w:val="0"/>
          <w:numId w:val="44"/>
        </w:numPr>
        <w:spacing w:lineRule="auto"/>
      </w:pPr>
      <w:r>
        <w:rPr/>
        <w:t xml:space="preserve">Regional funding gaps (useful for rural credit programs)</w:t>
      </w:r>
    </w:p>
    <w:p>
      <w:pPr>
        <w:numPr>
          <w:ilvl w:val="0"/>
          <w:numId w:val="44"/>
        </w:numPr>
        <w:spacing w:lineRule="auto"/>
      </w:pPr>
      <w:r>
        <w:rPr/>
        <w:t xml:space="preserve">ROI tracking on integrations</w:t>
      </w:r>
    </w:p>
    <w:p>
      <w:pPr>
        <w:spacing w:after="210" w:lineRule="auto"/>
      </w:pPr>
      <w:r>
        <w:rPr>
          <w:b/>
        </w:rPr>
        <w:t xml:space="preserve">For Dealers:</w:t>
      </w:r>
    </w:p>
    <w:p>
      <w:pPr>
        <w:numPr>
          <w:ilvl w:val="0"/>
          <w:numId w:val="45"/>
        </w:numPr>
        <w:spacing w:lineRule="auto"/>
      </w:pPr>
      <w:r>
        <w:rPr/>
        <w:t xml:space="preserve">Sales-to-funding conversion rates</w:t>
      </w:r>
    </w:p>
    <w:p>
      <w:pPr>
        <w:numPr>
          <w:ilvl w:val="0"/>
          <w:numId w:val="45"/>
        </w:numPr>
        <w:spacing w:lineRule="auto"/>
      </w:pPr>
      <w:r>
        <w:rPr/>
        <w:t xml:space="preserve">Application throughput and bottleneck analysis</w:t>
      </w:r>
    </w:p>
    <w:p>
      <w:pPr>
        <w:numPr>
          <w:ilvl w:val="0"/>
          <w:numId w:val="45"/>
        </w:numPr>
        <w:spacing w:lineRule="auto"/>
      </w:pPr>
      <w:r>
        <w:rPr/>
        <w:t xml:space="preserve">Time-to-approval across lenders</w:t>
      </w:r>
    </w:p>
    <w:p>
      <w:pPr>
        <w:numPr>
          <w:ilvl w:val="0"/>
          <w:numId w:val="45"/>
        </w:numPr>
        <w:spacing w:lineRule="auto"/>
      </w:pPr>
      <w:r>
        <w:rPr/>
        <w:t xml:space="preserve">Benchmarking against peer dealers</w:t>
      </w:r>
    </w:p>
    <w:p>
      <w:pPr>
        <w:spacing w:after="210" w:lineRule="auto"/>
      </w:pPr>
      <w:r>
        <w:rPr>
          <w:b/>
        </w:rPr>
        <w:t xml:space="preserve">For OEMs:</w:t>
      </w:r>
    </w:p>
    <w:p>
      <w:pPr>
        <w:numPr>
          <w:ilvl w:val="0"/>
          <w:numId w:val="46"/>
        </w:numPr>
        <w:spacing w:lineRule="auto"/>
      </w:pPr>
      <w:r>
        <w:rPr/>
        <w:t xml:space="preserve">Equipment financing penetration by dealer</w:t>
      </w:r>
    </w:p>
    <w:p>
      <w:pPr>
        <w:numPr>
          <w:ilvl w:val="0"/>
          <w:numId w:val="46"/>
        </w:numPr>
        <w:spacing w:lineRule="auto"/>
      </w:pPr>
      <w:r>
        <w:rPr/>
        <w:t xml:space="preserve">Incentive program utilization</w:t>
      </w:r>
    </w:p>
    <w:p>
      <w:pPr>
        <w:numPr>
          <w:ilvl w:val="0"/>
          <w:numId w:val="46"/>
        </w:numPr>
        <w:spacing w:lineRule="auto"/>
      </w:pPr>
      <w:r>
        <w:rPr/>
        <w:t xml:space="preserve">Competitive financing insights (anonymized)</w:t>
      </w:r>
    </w:p>
    <w:p>
      <w:pPr>
        <w:spacing w:line="271" w:before="240" w:lineRule="auto"/>
      </w:pPr>
      <w:bookmarkStart w:id="53" w:name="product_roadmap_12_36_months"/>
      <w:r>
        <w:rPr>
          <w:rFonts w:eastAsia="Georgia" w:cs="Georgia" w:ascii="Georgia" w:hAnsi="Georgia"/>
          <w:b/>
          <w:sz w:val="33"/>
        </w:rPr>
        <w:t xml:space="preserve">Product Roadmap (12–36 Months)</w:t>
      </w:r>
      <w:bookmarkEnd w:id="53"/>
    </w:p>
    <w:p>
      <w:pPr>
        <w:spacing w:after="210" w:lineRule="auto"/>
      </w:pPr>
      <w:r>
        <w:rPr>
          <w:b/>
        </w:rPr>
        <w:t xml:space="preserve">Phase 1 (Months 0–12): MVP &amp; Core Validation</w:t>
      </w:r>
    </w:p>
    <w:p>
      <w:pPr>
        <w:numPr>
          <w:ilvl w:val="0"/>
          <w:numId w:val="47"/>
        </w:numPr>
        <w:spacing w:lineRule="auto"/>
      </w:pPr>
      <w:r>
        <w:rPr/>
        <w:t xml:space="preserve">Dealer portal (unified application + multi-lender submission)</w:t>
      </w:r>
    </w:p>
    <w:p>
      <w:pPr>
        <w:numPr>
          <w:ilvl w:val="0"/>
          <w:numId w:val="47"/>
        </w:numPr>
        <w:spacing w:lineRule="auto"/>
      </w:pPr>
      <w:r>
        <w:rPr/>
        <w:t xml:space="preserve">Multi-lender routing (rule-based v1)</w:t>
      </w:r>
    </w:p>
    <w:p>
      <w:pPr>
        <w:numPr>
          <w:ilvl w:val="0"/>
          <w:numId w:val="47"/>
        </w:numPr>
        <w:spacing w:lineRule="auto"/>
      </w:pPr>
      <w:r>
        <w:rPr/>
        <w:t xml:space="preserve">Basic lender console</w:t>
      </w:r>
    </w:p>
    <w:p>
      <w:pPr>
        <w:numPr>
          <w:ilvl w:val="0"/>
          <w:numId w:val="47"/>
        </w:numPr>
        <w:spacing w:lineRule="auto"/>
      </w:pPr>
      <w:r>
        <w:rPr/>
        <w:t xml:space="preserve">Core compliance automation (ECOA/Reg B)</w:t>
      </w:r>
    </w:p>
    <w:p>
      <w:pPr>
        <w:numPr>
          <w:ilvl w:val="0"/>
          <w:numId w:val="47"/>
        </w:numPr>
        <w:spacing w:lineRule="auto"/>
      </w:pPr>
      <w:r>
        <w:rPr>
          <w:rFonts w:eastAsia="Georgia" w:cs="Georgia" w:ascii="Georgia" w:hAnsi="Georgia"/>
        </w:rPr>
        <w:t xml:space="preserve">3–5 lender integrations (design partners)</w:t>
      </w:r>
    </w:p>
    <w:p>
      <w:pPr>
        <w:spacing w:after="210" w:lineRule="auto"/>
      </w:pPr>
      <w:r>
        <w:rPr>
          <w:b/>
        </w:rPr>
        <w:t xml:space="preserve">Phase 2 (Months 12–24): Network Effects &amp; Scale</w:t>
      </w:r>
    </w:p>
    <w:p>
      <w:pPr>
        <w:numPr>
          <w:ilvl w:val="0"/>
          <w:numId w:val="48"/>
        </w:numPr>
        <w:spacing w:lineRule="auto"/>
      </w:pPr>
      <w:r>
        <w:rPr/>
        <w:t xml:space="preserve">Advanced routing logic (machine learning)</w:t>
      </w:r>
    </w:p>
    <w:p>
      <w:pPr>
        <w:numPr>
          <w:ilvl w:val="0"/>
          <w:numId w:val="48"/>
        </w:numPr>
        <w:spacing w:lineRule="auto"/>
      </w:pPr>
      <w:r>
        <w:rPr/>
        <w:t xml:space="preserve">OEM integrations (incentive tracking, performance data)</w:t>
      </w:r>
    </w:p>
    <w:p>
      <w:pPr>
        <w:numPr>
          <w:ilvl w:val="0"/>
          <w:numId w:val="48"/>
        </w:numPr>
        <w:spacing w:lineRule="auto"/>
      </w:pPr>
      <w:r>
        <w:rPr/>
        <w:t xml:space="preserve">Dealer analytics dashboards (real-time KPI tracking)</w:t>
      </w:r>
    </w:p>
    <w:p>
      <w:pPr>
        <w:numPr>
          <w:ilvl w:val="0"/>
          <w:numId w:val="48"/>
        </w:numPr>
        <w:spacing w:lineRule="auto"/>
      </w:pPr>
      <w:r>
        <w:rPr/>
        <w:t xml:space="preserve">Expanded lender APIs (12+ integrated lenders)</w:t>
      </w:r>
    </w:p>
    <w:p>
      <w:pPr>
        <w:numPr>
          <w:ilvl w:val="0"/>
          <w:numId w:val="48"/>
        </w:numPr>
        <w:spacing w:lineRule="auto"/>
      </w:pPr>
      <w:r>
        <w:rPr/>
        <w:t xml:space="preserve">Insurance/warranty marketplace (partner offerings)</w:t>
      </w:r>
    </w:p>
    <w:p>
      <w:pPr>
        <w:spacing w:after="210" w:lineRule="auto"/>
      </w:pPr>
      <w:r>
        <w:rPr>
          <w:b/>
        </w:rPr>
        <w:t xml:space="preserve">Phase 3 (Months 24–36): Defensibility &amp; Expansion</w:t>
      </w:r>
    </w:p>
    <w:p>
      <w:pPr>
        <w:numPr>
          <w:ilvl w:val="0"/>
          <w:numId w:val="49"/>
        </w:numPr>
        <w:spacing w:lineRule="auto"/>
      </w:pPr>
      <w:r>
        <w:rPr/>
        <w:t xml:space="preserve">Predictive credit decision support (risk scoring service for lenders)</w:t>
      </w:r>
    </w:p>
    <w:p>
      <w:pPr>
        <w:numPr>
          <w:ilvl w:val="0"/>
          <w:numId w:val="49"/>
        </w:numPr>
        <w:spacing w:lineRule="auto"/>
      </w:pPr>
      <w:r>
        <w:rPr/>
        <w:t xml:space="preserve">Collateral valuation engine (equipment pricing intelligence)</w:t>
      </w:r>
    </w:p>
    <w:p>
      <w:pPr>
        <w:numPr>
          <w:ilvl w:val="0"/>
          <w:numId w:val="49"/>
        </w:numPr>
        <w:spacing w:lineRule="auto"/>
      </w:pPr>
      <w:r>
        <w:rPr/>
        <w:t xml:space="preserve">Regional expansion (geographic beachheads)</w:t>
      </w:r>
    </w:p>
    <w:p>
      <w:pPr>
        <w:numPr>
          <w:ilvl w:val="0"/>
          <w:numId w:val="49"/>
        </w:numPr>
        <w:spacing w:lineRule="auto"/>
      </w:pPr>
      <w:r>
        <w:rPr/>
        <w:t xml:space="preserve">Exploration of adjacent verticals (construction, forestry, transportation equipment)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bm_11_business_model_unit_economics"/>
      <w:r>
        <w:rPr>
          <w:b/>
          <w:sz w:val="42"/>
        </w:rPr>
        <w:t xml:space="preserve">11. BUSINESS MODEL &amp; UNIT ECONOMICS</w:t>
      </w:r>
      <w:bookmarkEnd w:id="54"/>
    </w:p>
    <w:p>
      <w:pPr>
        <w:spacing w:line="271" w:before="240" w:lineRule="auto"/>
      </w:pPr>
      <w:bookmarkStart w:id="55" w:name="revenue_streams"/>
      <w:r>
        <w:rPr>
          <w:b/>
          <w:sz w:val="33"/>
        </w:rPr>
        <w:t xml:space="preserve">Revenue Streams</w:t>
      </w:r>
      <w:bookmarkEnd w:id="55"/>
    </w:p>
    <w:p>
      <w:pPr>
        <w:spacing w:after="210" w:lineRule="auto"/>
      </w:pPr>
      <w:r>
        <w:rPr>
          <w:b/>
        </w:rPr>
        <w:t xml:space="preserve">a. Lender Success Fees</w:t>
      </w:r>
      <w:r>
        <w:rPr/>
        <w:t xml:space="preserve"> (Primary Revenue Driver)</w:t>
      </w:r>
    </w:p>
    <w:p>
      <w:pPr>
        <w:numPr>
          <w:ilvl w:val="0"/>
          <w:numId w:val="50"/>
        </w:numPr>
        <w:spacing w:lineRule="auto"/>
      </w:pPr>
      <w:r>
        <w:rPr>
          <w:b/>
        </w:rPr>
        <w:t xml:space="preserve">1.5–2.5% fee</w:t>
      </w:r>
      <w:r>
        <w:rPr/>
        <w:t xml:space="preserve"> paid by lenders on funded loans</w:t>
      </w:r>
    </w:p>
    <w:p>
      <w:pPr>
        <w:numPr>
          <w:ilvl w:val="0"/>
          <w:numId w:val="50"/>
        </w:numPr>
        <w:spacing w:lineRule="auto"/>
      </w:pPr>
      <w:r>
        <w:rPr/>
        <w:t xml:space="preserve">No cost to farmers (funded by lenders who benefit from standardized applications)</w:t>
      </w:r>
    </w:p>
    <w:p>
      <w:pPr>
        <w:numPr>
          <w:ilvl w:val="0"/>
          <w:numId w:val="50"/>
        </w:numPr>
        <w:spacing w:lineRule="auto"/>
      </w:pPr>
      <w:r>
        <w:rPr/>
        <w:t xml:space="preserve">Transparent pricing to all participants</w:t>
      </w:r>
    </w:p>
    <w:p>
      <w:pPr>
        <w:numPr>
          <w:ilvl w:val="0"/>
          <w:numId w:val="50"/>
        </w:numPr>
        <w:spacing w:lineRule="auto"/>
      </w:pPr>
      <w:r>
        <w:rPr/>
        <w:t xml:space="preserve">Strong alignment with lender acquisition economics</w:t>
      </w:r>
    </w:p>
    <w:p>
      <w:pPr>
        <w:numPr>
          <w:ilvl w:val="0"/>
          <w:numId w:val="50"/>
        </w:numPr>
        <w:spacing w:lineRule="auto"/>
      </w:pPr>
      <w:r>
        <w:rPr/>
        <w:t xml:space="preserve">Scales directly with loan volume</w:t>
      </w:r>
    </w:p>
    <w:p>
      <w:pPr>
        <w:spacing w:after="210" w:lineRule="auto"/>
      </w:pPr>
      <w:r>
        <w:rPr>
          <w:i/>
        </w:rPr>
        <w:t xml:space="preserve">Example</w:t>
      </w:r>
      <w:r>
        <w:rPr>
          <w:rFonts w:eastAsia="Georgia" w:cs="Georgia" w:ascii="Georgia" w:hAnsi="Georgia"/>
        </w:rPr>
        <w:t xml:space="preserve">: $80K loan funded = $1,200–$2,000 platform revenue (1.5–2.5%)</w:t>
      </w:r>
    </w:p>
    <w:p>
      <w:pPr>
        <w:spacing w:after="210" w:lineRule="auto"/>
      </w:pPr>
      <w:r>
        <w:rPr>
          <w:b/>
        </w:rPr>
        <w:t xml:space="preserve">b. Dealer SaaS Subscriptions</w:t>
      </w:r>
      <w:r>
        <w:rPr/>
        <w:t xml:space="preserve"> (Recurring Revenue)</w:t>
      </w:r>
    </w:p>
    <w:p>
      <w:pPr>
        <w:numPr>
          <w:ilvl w:val="0"/>
          <w:numId w:val="51"/>
        </w:numPr>
        <w:spacing w:lineRule="auto"/>
      </w:pPr>
      <w:r>
        <w:rPr>
          <w:b/>
        </w:rPr>
        <w:t xml:space="preserve">$300–$1,500 monthly</w:t>
      </w:r>
      <w:r>
        <w:rPr/>
        <w:t xml:space="preserve"> depending on dealership size</w:t>
      </w:r>
    </w:p>
    <w:p>
      <w:pPr>
        <w:numPr>
          <w:ilvl w:val="0"/>
          <w:numId w:val="51"/>
        </w:numPr>
        <w:spacing w:lineRule="auto"/>
      </w:pPr>
      <w:r>
        <w:rPr/>
        <w:t xml:space="preserve">Features: Workflow automation, lender management, compliance tracking, analytics</w:t>
      </w:r>
    </w:p>
    <w:p>
      <w:pPr>
        <w:numPr>
          <w:ilvl w:val="0"/>
          <w:numId w:val="51"/>
        </w:numPr>
        <w:spacing w:lineRule="auto"/>
      </w:pPr>
      <w:r>
        <w:rPr/>
        <w:t xml:space="preserve">Extremely sticky due to workflow centrality (similar to DMS)</w:t>
      </w:r>
    </w:p>
    <w:p>
      <w:pPr>
        <w:numPr>
          <w:ilvl w:val="0"/>
          <w:numId w:val="51"/>
        </w:numPr>
        <w:spacing w:lineRule="auto"/>
      </w:pPr>
      <w:r>
        <w:rPr/>
        <w:t xml:space="preserve">Reduces CAC payback period</w:t>
      </w:r>
    </w:p>
    <w:p>
      <w:pPr>
        <w:spacing w:after="210" w:lineRule="auto"/>
      </w:pPr>
      <w:r>
        <w:rPr>
          <w:i/>
        </w:rPr>
        <w:t xml:space="preserve">Example</w:t>
      </w:r>
      <w:r>
        <w:rPr>
          <w:rFonts w:eastAsia="Georgia" w:cs="Georgia" w:ascii="Georgia" w:hAnsi="Georgia"/>
        </w:rPr>
        <w:t xml:space="preserve">: Independent dealer (5–7 locations) = $600–$900/month SaaS</w:t>
      </w:r>
    </w:p>
    <w:p>
      <w:pPr>
        <w:spacing w:after="210" w:lineRule="auto"/>
      </w:pPr>
      <w:r>
        <w:rPr>
          <w:b/>
        </w:rPr>
        <w:t xml:space="preserve">c. OEM Data &amp; Analytics</w:t>
      </w:r>
      <w:r>
        <w:rPr/>
        <w:t xml:space="preserve"> (High-Margin Add-On)</w:t>
      </w:r>
    </w:p>
    <w:p>
      <w:pPr>
        <w:numPr>
          <w:ilvl w:val="0"/>
          <w:numId w:val="52"/>
        </w:numPr>
        <w:spacing w:lineRule="auto"/>
      </w:pPr>
      <w:r>
        <w:rPr/>
        <w:t xml:space="preserve">Aggregated insights on dealer performance, regional approval trends, program utilization</w:t>
      </w:r>
    </w:p>
    <w:p>
      <w:pPr>
        <w:numPr>
          <w:ilvl w:val="0"/>
          <w:numId w:val="52"/>
        </w:numPr>
        <w:spacing w:lineRule="auto"/>
      </w:pPr>
      <w:r>
        <w:rPr/>
        <w:t xml:space="preserve">Non-PII / anonymized (compliant with GLBA)</w:t>
      </w:r>
    </w:p>
    <w:p>
      <w:pPr>
        <w:numPr>
          <w:ilvl w:val="0"/>
          <w:numId w:val="52"/>
        </w:numPr>
        <w:spacing w:lineRule="auto"/>
      </w:pPr>
      <w:r>
        <w:rPr/>
        <w:t xml:space="preserve">High-margin add-on revenue once dealer penetration established</w:t>
      </w:r>
    </w:p>
    <w:p>
      <w:pPr>
        <w:numPr>
          <w:ilvl w:val="0"/>
          <w:numId w:val="52"/>
        </w:numPr>
        <w:spacing w:lineRule="auto"/>
      </w:pPr>
      <w:r>
        <w:rPr>
          <w:rFonts w:eastAsia="Georgia" w:cs="Georgia" w:ascii="Georgia" w:hAnsi="Georgia"/>
        </w:rPr>
        <w:t xml:space="preserve">Potential: $50K–$200K per OEM annually</w:t>
      </w:r>
    </w:p>
    <w:p>
      <w:pPr>
        <w:spacing w:after="210" w:lineRule="auto"/>
      </w:pPr>
      <w:r>
        <w:rPr>
          <w:b/>
        </w:rPr>
        <w:t xml:space="preserve">d. Future Expansion Opportunities</w:t>
      </w:r>
    </w:p>
    <w:p>
      <w:pPr>
        <w:numPr>
          <w:ilvl w:val="0"/>
          <w:numId w:val="53"/>
        </w:numPr>
        <w:spacing w:lineRule="auto"/>
      </w:pPr>
      <w:r>
        <w:rPr/>
        <w:t xml:space="preserve">Insurance and warranty marketplace (referral fees)</w:t>
      </w:r>
    </w:p>
    <w:p>
      <w:pPr>
        <w:numPr>
          <w:ilvl w:val="0"/>
          <w:numId w:val="53"/>
        </w:numPr>
        <w:spacing w:lineRule="auto"/>
      </w:pPr>
      <w:r>
        <w:rPr/>
        <w:t xml:space="preserve">Equipment protection and telematics integrations</w:t>
      </w:r>
    </w:p>
    <w:p>
      <w:pPr>
        <w:numPr>
          <w:ilvl w:val="0"/>
          <w:numId w:val="53"/>
        </w:numPr>
        <w:spacing w:lineRule="auto"/>
      </w:pPr>
      <w:r>
        <w:rPr/>
        <w:t xml:space="preserve">Working capital and input financing referrals</w:t>
      </w:r>
    </w:p>
    <w:p>
      <w:pPr>
        <w:numPr>
          <w:ilvl w:val="0"/>
          <w:numId w:val="53"/>
        </w:numPr>
        <w:spacing w:lineRule="auto"/>
      </w:pPr>
      <w:r>
        <w:rPr/>
        <w:t xml:space="preserve">Collateral valuation service (premium analytics)</w:t>
      </w:r>
    </w:p>
    <w:p>
      <w:pPr>
        <w:spacing w:line="271" w:before="240" w:lineRule="auto"/>
      </w:pPr>
      <w:bookmarkStart w:id="56" w:name="cost_structure"/>
      <w:r>
        <w:rPr>
          <w:b/>
          <w:sz w:val="33"/>
        </w:rPr>
        <w:t xml:space="preserve">Cost Structure</w:t>
      </w:r>
      <w:bookmarkEnd w:id="56"/>
    </w:p>
    <w:p>
      <w:pPr>
        <w:spacing w:after="210" w:lineRule="auto"/>
      </w:pPr>
      <w:r>
        <w:rPr>
          <w:b/>
        </w:rPr>
        <w:t xml:space="preserve">a. Technology &amp; Engineering</w:t>
      </w:r>
      <w:r>
        <w:rPr>
          <w:rFonts w:eastAsia="Georgia" w:cs="Georgia" w:ascii="Georgia" w:hAnsi="Georgia"/>
        </w:rPr>
        <w:t xml:space="preserve"> (~35–45% of early revenue)</w:t>
      </w:r>
    </w:p>
    <w:p>
      <w:pPr>
        <w:numPr>
          <w:ilvl w:val="0"/>
          <w:numId w:val="54"/>
        </w:numPr>
        <w:spacing w:lineRule="auto"/>
      </w:pPr>
      <w:r>
        <w:rPr/>
        <w:t xml:space="preserve">Largest cost center in early years</w:t>
      </w:r>
    </w:p>
    <w:p>
      <w:pPr>
        <w:numPr>
          <w:ilvl w:val="0"/>
          <w:numId w:val="54"/>
        </w:numPr>
        <w:spacing w:lineRule="auto"/>
      </w:pPr>
      <w:r>
        <w:rPr/>
        <w:t xml:space="preserve">Includes: Routing engine development, lender integrations, compliance systems, analytics, security/SOC2 controls</w:t>
      </w:r>
    </w:p>
    <w:p>
      <w:pPr>
        <w:spacing w:after="210" w:lineRule="auto"/>
      </w:pPr>
      <w:r>
        <w:rPr>
          <w:b/>
        </w:rPr>
        <w:t xml:space="preserve">b. Sales &amp; Dealer Enablement</w:t>
      </w:r>
      <w:r>
        <w:rPr>
          <w:rFonts w:eastAsia="Georgia" w:cs="Georgia" w:ascii="Georgia" w:hAnsi="Georgia"/>
        </w:rPr>
        <w:t xml:space="preserve"> (~20–30% of revenue, declining over time)</w:t>
      </w:r>
    </w:p>
    <w:p>
      <w:pPr>
        <w:numPr>
          <w:ilvl w:val="0"/>
          <w:numId w:val="55"/>
        </w:numPr>
        <w:spacing w:lineRule="auto"/>
      </w:pPr>
      <w:r>
        <w:rPr/>
        <w:t xml:space="preserve">Dealer onboarding, training, account management</w:t>
      </w:r>
    </w:p>
    <w:p>
      <w:pPr>
        <w:numPr>
          <w:ilvl w:val="0"/>
          <w:numId w:val="55"/>
        </w:numPr>
        <w:spacing w:lineRule="auto"/>
      </w:pPr>
      <w:r>
        <w:rPr/>
        <w:t xml:space="preserve">Inside sales + field support for major dealer groups</w:t>
      </w:r>
    </w:p>
    <w:p>
      <w:pPr>
        <w:numPr>
          <w:ilvl w:val="0"/>
          <w:numId w:val="55"/>
        </w:numPr>
        <w:spacing w:lineRule="auto"/>
      </w:pPr>
      <w:r>
        <w:rPr/>
        <w:t xml:space="preserve">Marketing and dealer association partnerships</w:t>
      </w:r>
    </w:p>
    <w:p>
      <w:pPr>
        <w:numPr>
          <w:ilvl w:val="0"/>
          <w:numId w:val="55"/>
        </w:numPr>
        <w:spacing w:lineRule="auto"/>
      </w:pPr>
      <w:r>
        <w:rPr>
          <w:rFonts w:eastAsia="Georgia" w:cs="Georgia" w:ascii="Georgia" w:hAnsi="Georgia"/>
        </w:rPr>
        <w:t xml:space="preserve">CAC: $3,000–$8,000 per dealer</w:t>
      </w:r>
    </w:p>
    <w:p>
      <w:pPr>
        <w:spacing w:after="210" w:lineRule="auto"/>
      </w:pPr>
      <w:r>
        <w:rPr>
          <w:b/>
        </w:rPr>
        <w:t xml:space="preserve">c. Compliance &amp; Security</w:t>
      </w:r>
      <w:r>
        <w:rPr>
          <w:rFonts w:eastAsia="Georgia" w:cs="Georgia" w:ascii="Georgia" w:hAnsi="Georgia"/>
        </w:rPr>
        <w:t xml:space="preserve"> (~8–12% of revenue)</w:t>
      </w:r>
    </w:p>
    <w:p>
      <w:pPr>
        <w:numPr>
          <w:ilvl w:val="0"/>
          <w:numId w:val="56"/>
        </w:numPr>
        <w:spacing w:lineRule="auto"/>
      </w:pPr>
      <w:r>
        <w:rPr/>
        <w:t xml:space="preserve">GLBA, ECOA, FCRA, UETA/ESIGN adherence</w:t>
      </w:r>
    </w:p>
    <w:p>
      <w:pPr>
        <w:numPr>
          <w:ilvl w:val="0"/>
          <w:numId w:val="56"/>
        </w:numPr>
        <w:spacing w:lineRule="auto"/>
      </w:pPr>
      <w:r>
        <w:rPr/>
        <w:t xml:space="preserve">SOC 2 controls and audits</w:t>
      </w:r>
    </w:p>
    <w:p>
      <w:pPr>
        <w:numPr>
          <w:ilvl w:val="0"/>
          <w:numId w:val="56"/>
        </w:numPr>
        <w:spacing w:lineRule="auto"/>
      </w:pPr>
      <w:r>
        <w:rPr/>
        <w:t xml:space="preserve">Data governance and audit tools</w:t>
      </w:r>
    </w:p>
    <w:p>
      <w:pPr>
        <w:numPr>
          <w:ilvl w:val="0"/>
          <w:numId w:val="56"/>
        </w:numPr>
        <w:spacing w:lineRule="auto"/>
      </w:pPr>
      <w:r>
        <w:rPr/>
        <w:t xml:space="preserve">Legal and regulatory counsel</w:t>
      </w:r>
    </w:p>
    <w:p>
      <w:pPr>
        <w:spacing w:after="210" w:lineRule="auto"/>
      </w:pPr>
      <w:r>
        <w:rPr>
          <w:b/>
        </w:rPr>
        <w:t xml:space="preserve">d. Cloud Infrastructure</w:t>
      </w:r>
      <w:r>
        <w:rPr>
          <w:rFonts w:eastAsia="Georgia" w:cs="Georgia" w:ascii="Georgia" w:hAnsi="Georgia"/>
        </w:rPr>
        <w:t xml:space="preserve"> (~5–8% of revenue at scale)</w:t>
      </w:r>
    </w:p>
    <w:p>
      <w:pPr>
        <w:numPr>
          <w:ilvl w:val="0"/>
          <w:numId w:val="57"/>
        </w:numPr>
        <w:spacing w:lineRule="auto"/>
      </w:pPr>
      <w:r>
        <w:rPr/>
        <w:t xml:space="preserve">Hosting, storage, security monitoring</w:t>
      </w:r>
    </w:p>
    <w:p>
      <w:pPr>
        <w:numPr>
          <w:ilvl w:val="0"/>
          <w:numId w:val="57"/>
        </w:numPr>
        <w:spacing w:lineRule="auto"/>
      </w:pPr>
      <w:r>
        <w:rPr/>
        <w:t xml:space="preserve">Expected to stabilize &lt;8% of revenue at scale (due to software leverage)</w:t>
      </w:r>
    </w:p>
    <w:p>
      <w:pPr>
        <w:spacing w:after="210" w:lineRule="auto"/>
      </w:pPr>
      <w:r>
        <w:rPr>
          <w:b/>
        </w:rPr>
        <w:t xml:space="preserve">e. General &amp; Administrative</w:t>
      </w:r>
      <w:r>
        <w:rPr>
          <w:rFonts w:eastAsia="Georgia" w:cs="Georgia" w:ascii="Georgia" w:hAnsi="Georgia"/>
        </w:rPr>
        <w:t xml:space="preserve"> (~10–15% of revenue)</w:t>
      </w:r>
    </w:p>
    <w:p>
      <w:pPr>
        <w:numPr>
          <w:ilvl w:val="0"/>
          <w:numId w:val="58"/>
        </w:numPr>
        <w:spacing w:lineRule="auto"/>
      </w:pPr>
      <w:r>
        <w:rPr/>
        <w:t xml:space="preserve">Finance, HR, legal, accounting</w:t>
      </w:r>
    </w:p>
    <w:p>
      <w:pPr>
        <w:numPr>
          <w:ilvl w:val="0"/>
          <w:numId w:val="58"/>
        </w:numPr>
        <w:spacing w:lineRule="auto"/>
      </w:pPr>
      <w:r>
        <w:rPr/>
        <w:t xml:space="preserve">Moderates as revenue scales</w:t>
      </w:r>
    </w:p>
    <w:p>
      <w:pPr>
        <w:spacing w:line="271" w:before="240" w:lineRule="auto"/>
      </w:pPr>
      <w:bookmarkStart w:id="57" w:name="unit_economics"/>
      <w:r>
        <w:rPr>
          <w:b/>
          <w:sz w:val="33"/>
        </w:rPr>
        <w:t xml:space="preserve">Unit Economics</w:t>
      </w:r>
      <w:bookmarkEnd w:id="57"/>
    </w:p>
    <w:p>
      <w:pPr>
        <w:spacing w:after="210" w:lineRule="auto"/>
      </w:pPr>
      <w:r>
        <w:rPr>
          <w:b/>
        </w:rPr>
        <w:t xml:space="preserve">a. Dealer-Level Economics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Value</w:t>
            </w:r>
          </w:p>
        </w:tc>
        <w:tc>
          <w:tcPr>
            <w:tcBorders>
              <w:top w:val="single" w:sz="1" w:space="0" w:color="000000"/>
              <w:left w:val="single" w:sz="1" w:space="0" w:color="000000"/>
              <w:bottom w:val="single" w:sz="1" w:space="0" w:color="000000"/>
            </w:tcBorders>
          </w:tcPr>
          <w:p>
            <w:pPr>
              <w:spacing w:lineRule="auto"/>
            </w:pPr>
            <w:r>
              <w:rPr/>
              <w:t xml:space="preserve">Notes</w:t>
            </w:r>
          </w:p>
        </w:tc>
      </w:tr>
      <w:tr>
        <w:trPr>
          <w:cantSplit/>
        </w:trPr>
        <w:tc>
          <w:tcPr>
            <w:tcBorders>
              <w:top w:val="single" w:sz="1" w:space="0" w:color="000000"/>
              <w:bottom w:val="single" w:sz="1" w:space="0" w:color="000000"/>
            </w:tcBorders>
          </w:tcPr>
          <w:p>
            <w:pPr>
              <w:spacing w:lineRule="auto"/>
            </w:pPr>
            <w:r>
              <w:rPr>
                <w:b/>
              </w:rPr>
              <w:t xml:space="preserve">Annual SaaS Subscription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~$7,200</w:t>
            </w:r>
          </w:p>
        </w:tc>
        <w:tc>
          <w:tcPr>
            <w:tcBorders>
              <w:top w:val="single" w:sz="1" w:space="0" w:color="000000"/>
              <w:left w:val="single" w:sz="1" w:space="0" w:color="000000"/>
              <w:bottom w:val="single" w:sz="1" w:space="0" w:color="000000"/>
            </w:tcBorders>
          </w:tcPr>
          <w:p>
            <w:pPr>
              <w:spacing w:lineRule="auto"/>
            </w:pPr>
            <w:r>
              <w:rPr/>
              <w:t xml:space="preserve">$600/month average</w:t>
            </w:r>
          </w:p>
        </w:tc>
      </w:tr>
      <w:tr>
        <w:trPr>
          <w:cantSplit/>
        </w:trPr>
        <w:tc>
          <w:tcPr>
            <w:tcBorders>
              <w:top w:val="single" w:sz="1" w:space="0" w:color="000000"/>
              <w:bottom w:val="single" w:sz="1" w:space="0" w:color="000000"/>
            </w:tcBorders>
          </w:tcPr>
          <w:p>
            <w:pPr>
              <w:spacing w:lineRule="auto"/>
            </w:pPr>
            <w:r>
              <w:rPr>
                <w:b/>
              </w:rPr>
              <w:t xml:space="preserve">Funded Loans per Year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Conservative; high-volume dealers see 75–150</w:t>
            </w:r>
          </w:p>
        </w:tc>
      </w:tr>
      <w:tr>
        <w:trPr>
          <w:cantSplit/>
        </w:trPr>
        <w:tc>
          <w:tcPr>
            <w:tcBorders>
              <w:top w:val="single" w:sz="1" w:space="0" w:color="000000"/>
              <w:bottom w:val="single" w:sz="1" w:space="0" w:color="000000"/>
            </w:tcBorders>
          </w:tcPr>
          <w:p>
            <w:pPr>
              <w:spacing w:lineRule="auto"/>
            </w:pPr>
            <w:r>
              <w:rPr>
                <w:b/>
              </w:rPr>
              <w:t xml:space="preserve">Average Success Fee Revenue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~$80,000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50 loans × $80K × 2% success fee</w:t>
            </w:r>
          </w:p>
        </w:tc>
      </w:tr>
      <w:tr>
        <w:trPr>
          <w:cantSplit/>
        </w:trPr>
        <w:tc>
          <w:tcPr>
            <w:tcBorders>
              <w:top w:val="single" w:sz="1" w:space="0" w:color="000000"/>
              <w:bottom w:val="single" w:sz="1" w:space="0" w:color="000000"/>
            </w:tcBorders>
          </w:tcPr>
          <w:p>
            <w:pPr>
              <w:spacing w:lineRule="auto"/>
            </w:pPr>
            <w:r>
              <w:rPr>
                <w:b/>
              </w:rPr>
              <w:t xml:space="preserve">Total Annual Revenue per Dealer</w:t>
            </w:r>
          </w:p>
        </w:tc>
        <w:tc>
          <w:tcPr>
            <w:tcBorders>
              <w:top w:val="single" w:sz="1" w:space="0" w:color="000000"/>
              <w:left w:val="single" w:sz="1" w:space="0" w:color="000000"/>
              <w:bottom w:val="single" w:sz="1" w:space="0" w:color="000000"/>
            </w:tcBorders>
          </w:tcPr>
          <w:p>
            <w:pPr>
              <w:spacing w:lineRule="auto"/>
            </w:pPr>
            <w:r>
              <w:rPr>
                <w:b/>
              </w:rPr>
              <w:t xml:space="preserve">~$87,200</w:t>
            </w:r>
          </w:p>
        </w:tc>
        <w:tc>
          <w:tcPr>
            <w:tcBorders>
              <w:top w:val="single" w:sz="1" w:space="0" w:color="000000"/>
              <w:left w:val="single" w:sz="1" w:space="0" w:color="000000"/>
              <w:bottom w:val="single" w:sz="1" w:space="0" w:color="000000"/>
            </w:tcBorders>
          </w:tcPr>
          <w:p>
            <w:pPr>
              <w:spacing w:lineRule="auto"/>
            </w:pPr>
            <w:r>
              <w:rPr/>
              <w:t xml:space="preserve">SaaS + success fees</w:t>
            </w:r>
          </w:p>
        </w:tc>
      </w:tr>
      <w:tr>
        <w:trPr>
          <w:cantSplit/>
        </w:trPr>
        <w:tc>
          <w:tcPr>
            <w:tcBorders>
              <w:top w:val="single" w:sz="1" w:space="0" w:color="000000"/>
              <w:bottom w:val="single" w:sz="1" w:space="0" w:color="000000"/>
            </w:tcBorders>
          </w:tcPr>
          <w:p>
            <w:pPr>
              <w:spacing w:lineRule="auto"/>
            </w:pPr>
            <w:r>
              <w:rPr>
                <w:b/>
              </w:rPr>
              <w:t xml:space="preserve">CAC (Independent Dealer)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$3,000–$5,000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3–4 month payback</w:t>
            </w:r>
          </w:p>
        </w:tc>
      </w:tr>
      <w:tr>
        <w:trPr>
          <w:cantSplit/>
        </w:trPr>
        <w:tc>
          <w:tcPr>
            <w:tcBorders>
              <w:top w:val="single" w:sz="1" w:space="0" w:color="000000"/>
              <w:bottom w:val="single" w:sz="1" w:space="0" w:color="000000"/>
            </w:tcBorders>
          </w:tcPr>
          <w:p>
            <w:pPr>
              <w:spacing w:lineRule="auto"/>
            </w:pPr>
            <w:r>
              <w:rPr>
                <w:b/>
              </w:rPr>
              <w:t xml:space="preserve">CAC Payback Period</w:t>
            </w:r>
          </w:p>
        </w:tc>
        <w:tc>
          <w:tcPr>
            <w:tcBorders>
              <w:top w:val="single" w:sz="1" w:space="0" w:color="000000"/>
              <w:left w:val="single" w:sz="1" w:space="0" w:color="000000"/>
              <w:bottom w:val="single" w:sz="1" w:space="0" w:color="000000"/>
            </w:tcBorders>
          </w:tcPr>
          <w:p>
            <w:pPr>
              <w:spacing w:lineRule="auto"/>
            </w:pPr>
            <w:r>
              <w:rPr>
                <w:b/>
              </w:rPr>
              <w:t xml:space="preserve">&lt;6 months</w:t>
            </w:r>
          </w:p>
        </w:tc>
        <w:tc>
          <w:tcPr>
            <w:tcBorders>
              <w:top w:val="single" w:sz="1" w:space="0" w:color="000000"/>
              <w:left w:val="single" w:sz="1" w:space="0" w:color="000000"/>
              <w:bottom w:val="single" w:sz="1" w:space="0" w:color="000000"/>
            </w:tcBorders>
          </w:tcPr>
          <w:p>
            <w:pPr>
              <w:spacing w:lineRule="auto"/>
            </w:pPr>
            <w:r>
              <w:rPr/>
              <w:t xml:space="preserve">Recurring SaaS + transaction revenue</w:t>
            </w:r>
          </w:p>
        </w:tc>
      </w:tr>
      <w:tr>
        <w:trPr>
          <w:cantSplit/>
        </w:trPr>
        <w:tc>
          <w:tcPr>
            <w:tcBorders>
              <w:top w:val="single" w:sz="1" w:space="0" w:color="000000"/>
              <w:bottom w:val="single" w:sz="1" w:space="0" w:color="000000"/>
            </w:tcBorders>
          </w:tcPr>
          <w:p>
            <w:pPr>
              <w:spacing w:lineRule="auto"/>
            </w:pPr>
            <w:r>
              <w:rPr>
                <w:b/>
              </w:rPr>
              <w:t xml:space="preserve">Dealer Gross Margin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85–90%</w:t>
            </w:r>
          </w:p>
        </w:tc>
        <w:tc>
          <w:tcPr>
            <w:tcBorders>
              <w:top w:val="single" w:sz="1" w:space="0" w:color="000000"/>
              <w:left w:val="single" w:sz="1" w:space="0" w:color="000000"/>
              <w:bottom w:val="single" w:sz="1" w:space="0" w:color="000000"/>
            </w:tcBorders>
          </w:tcPr>
          <w:p>
            <w:pPr>
              <w:spacing w:lineRule="auto"/>
            </w:pPr>
            <w:r>
              <w:rPr/>
              <w:t xml:space="preserve">Minimal incremental cost per transaction</w:t>
            </w:r>
          </w:p>
        </w:tc>
      </w:tr>
    </w:tbl>
    <w:p>
      <w:pPr>
        <w:spacing w:lineRule="auto"/>
      </w:pPr>
    </w:p>
    <w:p>
      <w:pPr>
        <w:spacing w:after="210" w:lineRule="auto"/>
      </w:pPr>
      <w:r>
        <w:rPr>
          <w:b/>
        </w:rPr>
        <w:t xml:space="preserve">b. Gross Margin Profile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Year</w:t>
            </w:r>
          </w:p>
        </w:tc>
        <w:tc>
          <w:tcPr>
            <w:tcBorders>
              <w:top w:val="single" w:sz="1" w:space="0" w:color="000000"/>
              <w:left w:val="single" w:sz="1" w:space="0" w:color="000000"/>
              <w:bottom w:val="single" w:sz="1" w:space="0" w:color="000000"/>
            </w:tcBorders>
          </w:tcPr>
          <w:p>
            <w:pPr>
              <w:spacing w:lineRule="auto"/>
            </w:pPr>
            <w:r>
              <w:rPr/>
              <w:t xml:space="preserve">Gross Margin</w:t>
            </w:r>
          </w:p>
        </w:tc>
        <w:tc>
          <w:tcPr>
            <w:tcBorders>
              <w:top w:val="single" w:sz="1" w:space="0" w:color="000000"/>
              <w:left w:val="single" w:sz="1" w:space="0" w:color="000000"/>
              <w:bottom w:val="single" w:sz="1" w:space="0" w:color="000000"/>
            </w:tcBorders>
          </w:tcPr>
          <w:p>
            <w:pPr>
              <w:spacing w:lineRule="auto"/>
            </w:pPr>
            <w:r>
              <w:rPr/>
              <w:t xml:space="preserve">Drivers</w:t>
            </w:r>
          </w:p>
        </w:tc>
      </w:tr>
      <w:tr>
        <w:trPr>
          <w:cantSplit/>
        </w:trPr>
        <w:tc>
          <w:tcPr>
            <w:tcBorders>
              <w:top w:val="single" w:sz="1" w:space="0" w:color="000000"/>
              <w:bottom w:val="single" w:sz="1" w:space="0" w:color="000000"/>
            </w:tcBorders>
          </w:tcPr>
          <w:p>
            <w:pPr>
              <w:spacing w:lineRule="auto"/>
            </w:pPr>
            <w:r>
              <w:rPr>
                <w:b/>
              </w:rPr>
              <w:t xml:space="preserve">Year 1</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~80%</w:t>
            </w:r>
          </w:p>
        </w:tc>
        <w:tc>
          <w:tcPr>
            <w:tcBorders>
              <w:top w:val="single" w:sz="1" w:space="0" w:color="000000"/>
              <w:left w:val="single" w:sz="1" w:space="0" w:color="000000"/>
              <w:bottom w:val="single" w:sz="1" w:space="0" w:color="000000"/>
            </w:tcBorders>
          </w:tcPr>
          <w:p>
            <w:pPr>
              <w:spacing w:lineRule="auto"/>
            </w:pPr>
            <w:r>
              <w:rPr/>
              <w:t xml:space="preserve">Heavy platform dev; early integration costs</w:t>
            </w:r>
          </w:p>
        </w:tc>
      </w:tr>
      <w:tr>
        <w:trPr>
          <w:cantSplit/>
        </w:trPr>
        <w:tc>
          <w:tcPr>
            <w:tcBorders>
              <w:top w:val="single" w:sz="1" w:space="0" w:color="000000"/>
              <w:bottom w:val="single" w:sz="1" w:space="0" w:color="000000"/>
            </w:tcBorders>
          </w:tcPr>
          <w:p>
            <w:pPr>
              <w:spacing w:lineRule="auto"/>
            </w:pPr>
            <w:r>
              <w:rPr>
                <w:b/>
              </w:rPr>
              <w:t xml:space="preserve">Year 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~82%</w:t>
            </w:r>
          </w:p>
        </w:tc>
        <w:tc>
          <w:tcPr>
            <w:tcBorders>
              <w:top w:val="single" w:sz="1" w:space="0" w:color="000000"/>
              <w:left w:val="single" w:sz="1" w:space="0" w:color="000000"/>
              <w:bottom w:val="single" w:sz="1" w:space="0" w:color="000000"/>
            </w:tcBorders>
          </w:tcPr>
          <w:p>
            <w:pPr>
              <w:spacing w:lineRule="auto"/>
            </w:pPr>
            <w:r>
              <w:rPr/>
              <w:t xml:space="preserve">Integration reuse; some scale leverage</w:t>
            </w:r>
          </w:p>
        </w:tc>
      </w:tr>
      <w:tr>
        <w:trPr>
          <w:cantSplit/>
        </w:trPr>
        <w:tc>
          <w:tcPr>
            <w:tcBorders>
              <w:top w:val="single" w:sz="1" w:space="0" w:color="000000"/>
              <w:bottom w:val="single" w:sz="1" w:space="0" w:color="000000"/>
            </w:tcBorders>
          </w:tcPr>
          <w:p>
            <w:pPr>
              <w:spacing w:lineRule="auto"/>
            </w:pPr>
            <w:r>
              <w:rPr>
                <w:b/>
              </w:rPr>
              <w:t xml:space="preserve">Year 3</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~85%</w:t>
            </w:r>
          </w:p>
        </w:tc>
        <w:tc>
          <w:tcPr>
            <w:tcBorders>
              <w:top w:val="single" w:sz="1" w:space="0" w:color="000000"/>
              <w:left w:val="single" w:sz="1" w:space="0" w:color="000000"/>
              <w:bottom w:val="single" w:sz="1" w:space="0" w:color="000000"/>
            </w:tcBorders>
          </w:tcPr>
          <w:p>
            <w:pPr>
              <w:spacing w:lineRule="auto"/>
            </w:pPr>
            <w:r>
              <w:rPr/>
              <w:t xml:space="preserve">Operational leverage; lender integrations amortized</w:t>
            </w:r>
          </w:p>
        </w:tc>
      </w:tr>
      <w:tr>
        <w:trPr>
          <w:cantSplit/>
        </w:trPr>
        <w:tc>
          <w:tcPr>
            <w:tcBorders>
              <w:top w:val="single" w:sz="1" w:space="0" w:color="000000"/>
              <w:bottom w:val="single" w:sz="1" w:space="0" w:color="000000"/>
            </w:tcBorders>
          </w:tcPr>
          <w:p>
            <w:pPr>
              <w:spacing w:lineRule="auto"/>
            </w:pPr>
            <w:r>
              <w:rPr>
                <w:b/>
              </w:rPr>
              <w:t xml:space="preserve">Year 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~88%+</w:t>
            </w:r>
          </w:p>
        </w:tc>
        <w:tc>
          <w:tcPr>
            <w:tcBorders>
              <w:top w:val="single" w:sz="1" w:space="0" w:color="000000"/>
              <w:left w:val="single" w:sz="1" w:space="0" w:color="000000"/>
              <w:bottom w:val="single" w:sz="1" w:space="0" w:color="000000"/>
            </w:tcBorders>
          </w:tcPr>
          <w:p>
            <w:pPr>
              <w:spacing w:lineRule="auto"/>
            </w:pPr>
            <w:r>
              <w:rPr/>
              <w:t xml:space="preserve">Software leverage; declining infrastructure costs relative to revenue</w:t>
            </w:r>
          </w:p>
        </w:tc>
      </w:tr>
    </w:tbl>
    <w:p>
      <w:pPr>
        <w:spacing w:lineRule="auto"/>
      </w:pPr>
    </w:p>
    <w:p>
      <w:pPr>
        <w:spacing w:after="210" w:lineRule="auto"/>
      </w:pPr>
      <w:r>
        <w:rPr>
          <w:b/>
        </w:rPr>
        <w:t xml:space="preserve">c. Customer Acquisition Cost (CAC)</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Dealer Type</w:t>
            </w:r>
          </w:p>
        </w:tc>
        <w:tc>
          <w:tcPr>
            <w:tcBorders>
              <w:top w:val="single" w:sz="1" w:space="0" w:color="000000"/>
              <w:left w:val="single" w:sz="1" w:space="0" w:color="000000"/>
              <w:bottom w:val="single" w:sz="1" w:space="0" w:color="000000"/>
            </w:tcBorders>
          </w:tcPr>
          <w:p>
            <w:pPr>
              <w:spacing w:lineRule="auto"/>
            </w:pPr>
            <w:r>
              <w:rPr/>
              <w:t xml:space="preserve">CAC Range</w:t>
            </w:r>
          </w:p>
        </w:tc>
        <w:tc>
          <w:tcPr>
            <w:tcBorders>
              <w:top w:val="single" w:sz="1" w:space="0" w:color="000000"/>
              <w:left w:val="single" w:sz="1" w:space="0" w:color="000000"/>
              <w:bottom w:val="single" w:sz="1" w:space="0" w:color="000000"/>
            </w:tcBorders>
          </w:tcPr>
          <w:p>
            <w:pPr>
              <w:spacing w:lineRule="auto"/>
            </w:pPr>
            <w:r>
              <w:rPr/>
              <w:t xml:space="preserve">Payback Period</w:t>
            </w:r>
          </w:p>
        </w:tc>
        <w:tc>
          <w:tcPr>
            <w:tcBorders>
              <w:top w:val="single" w:sz="1" w:space="0" w:color="000000"/>
              <w:left w:val="single" w:sz="1" w:space="0" w:color="000000"/>
              <w:bottom w:val="single" w:sz="1" w:space="0" w:color="000000"/>
            </w:tcBorders>
          </w:tcPr>
          <w:p>
            <w:pPr>
              <w:spacing w:lineRule="auto"/>
            </w:pPr>
            <w:r>
              <w:rPr/>
              <w:t xml:space="preserve">Notes</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Independent (1–3 stores)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$2,000–$5,000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2–4 months</w:t>
            </w:r>
          </w:p>
        </w:tc>
        <w:tc>
          <w:tcPr>
            <w:tcBorders>
              <w:top w:val="single" w:sz="1" w:space="0" w:color="000000"/>
              <w:left w:val="single" w:sz="1" w:space="0" w:color="000000"/>
              <w:bottom w:val="single" w:sz="1" w:space="0" w:color="000000"/>
            </w:tcBorders>
          </w:tcPr>
          <w:p>
            <w:pPr>
              <w:spacing w:lineRule="auto"/>
            </w:pPr>
            <w:r>
              <w:rPr/>
              <w:t xml:space="preserve">High organic + referral adoption</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Small Multi-Location (5–10)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$5,000–$10,000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3–5 months</w:t>
            </w:r>
          </w:p>
        </w:tc>
        <w:tc>
          <w:tcPr>
            <w:tcBorders>
              <w:top w:val="single" w:sz="1" w:space="0" w:color="000000"/>
              <w:left w:val="single" w:sz="1" w:space="0" w:color="000000"/>
              <w:bottom w:val="single" w:sz="1" w:space="0" w:color="000000"/>
            </w:tcBorders>
          </w:tcPr>
          <w:p>
            <w:pPr>
              <w:spacing w:lineRule="auto"/>
            </w:pPr>
            <w:r>
              <w:rPr/>
              <w:t xml:space="preserve">More complex integration; higher value</w:t>
            </w:r>
          </w:p>
        </w:tc>
      </w:tr>
      <w:tr>
        <w:trPr>
          <w:cantSplit/>
        </w:trPr>
        <w:tc>
          <w:tcPr>
            <w:tcBorders>
              <w:top w:val="single" w:sz="1" w:space="0" w:color="000000"/>
              <w:bottom w:val="single" w:sz="1" w:space="0" w:color="000000"/>
            </w:tcBorders>
          </w:tcPr>
          <w:p>
            <w:pPr>
              <w:spacing w:lineRule="auto"/>
            </w:pPr>
            <w:r>
              <w:rPr/>
              <w:t xml:space="preserve">Large Dealer Group (20+)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$15,000–$25,000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5–7 months</w:t>
            </w:r>
          </w:p>
        </w:tc>
        <w:tc>
          <w:tcPr>
            <w:tcBorders>
              <w:top w:val="single" w:sz="1" w:space="0" w:color="000000"/>
              <w:left w:val="single" w:sz="1" w:space="0" w:color="000000"/>
              <w:bottom w:val="single" w:sz="1" w:space="0" w:color="000000"/>
            </w:tcBorders>
          </w:tcPr>
          <w:p>
            <w:pPr>
              <w:spacing w:lineRule="auto"/>
            </w:pPr>
            <w:r>
              <w:rPr/>
              <w:t xml:space="preserve">Enterprise sales cycle; higher deployment cost</w:t>
            </w:r>
          </w:p>
        </w:tc>
      </w:tr>
    </w:tbl>
    <w:p>
      <w:pPr>
        <w:spacing w:lineRule="auto"/>
      </w:pPr>
    </w:p>
    <w:p>
      <w:pPr>
        <w:spacing w:after="210" w:lineRule="auto"/>
      </w:pPr>
      <w:r>
        <w:rPr>
          <w:i/>
        </w:rPr>
        <w:t xml:space="preserve">CAC Payback Calculation</w:t>
      </w:r>
      <w:r>
        <w:rPr/>
        <w:t xml:space="preserve">: ($7,200 SaaS + $80K success fee revenue) / (CAC) = </w:t>
      </w:r>
      <w:r>
        <w:rPr>
          <w:b/>
        </w:rPr>
        <w:t xml:space="preserve">&lt;6 months on average</w:t>
      </w:r>
    </w:p>
    <w:p>
      <w:pPr>
        <w:spacing w:after="210" w:lineRule="auto"/>
      </w:pPr>
      <w:r>
        <w:rPr>
          <w:b/>
        </w:rPr>
        <w:t xml:space="preserve">d. Lender Economics</w:t>
      </w:r>
    </w:p>
    <w:p>
      <w:pPr>
        <w:spacing w:after="210" w:lineRule="auto"/>
      </w:pPr>
      <w:r>
        <w:rPr/>
        <w:t xml:space="preserve">Lenders participating in the platform experience:</w:t>
      </w:r>
    </w:p>
    <w:p>
      <w:pPr>
        <w:numPr>
          <w:ilvl w:val="0"/>
          <w:numId w:val="59"/>
        </w:numPr>
        <w:spacing w:lineRule="auto"/>
      </w:pPr>
      <w:r>
        <w:rPr>
          <w:b/>
        </w:rPr>
        <w:t xml:space="preserve">Cost reduction</w:t>
      </w:r>
      <w:r>
        <w:rPr>
          <w:rFonts w:eastAsia="Georgia" w:cs="Georgia" w:ascii="Georgia" w:hAnsi="Georgia"/>
        </w:rPr>
        <w:t xml:space="preserve">: 20–30% reduction in underwriting cost per completed application</w:t>
      </w:r>
    </w:p>
    <w:p>
      <w:pPr>
        <w:numPr>
          <w:ilvl w:val="0"/>
          <w:numId w:val="59"/>
        </w:numPr>
        <w:spacing w:lineRule="auto"/>
      </w:pPr>
      <w:r>
        <w:rPr>
          <w:b/>
        </w:rPr>
        <w:t xml:space="preserve">Volume increase</w:t>
      </w:r>
      <w:r>
        <w:rPr/>
        <w:t xml:space="preserve">: Higher completion rates (68% fewer incomplete submissions vs. manual workflow)</w:t>
      </w:r>
    </w:p>
    <w:p>
      <w:pPr>
        <w:numPr>
          <w:ilvl w:val="0"/>
          <w:numId w:val="59"/>
        </w:numPr>
        <w:spacing w:lineRule="auto"/>
      </w:pPr>
      <w:r>
        <w:rPr>
          <w:b/>
        </w:rPr>
        <w:t xml:space="preserve">Application quality</w:t>
      </w:r>
      <w:r>
        <w:rPr/>
        <w:t xml:space="preserve">: Better credit selection via intelligent routing engine</w:t>
      </w:r>
    </w:p>
    <w:p>
      <w:pPr>
        <w:numPr>
          <w:ilvl w:val="0"/>
          <w:numId w:val="59"/>
        </w:numPr>
        <w:spacing w:lineRule="auto"/>
      </w:pPr>
      <w:r>
        <w:rPr>
          <w:b/>
        </w:rPr>
        <w:t xml:space="preserve">Retention</w:t>
      </w:r>
      <w:r>
        <w:rPr/>
        <w:t xml:space="preserve">: Platform switching costs become structural (integration depth)</w:t>
      </w:r>
    </w:p>
    <w:p>
      <w:pPr>
        <w:spacing w:after="210" w:lineRule="auto"/>
      </w:pPr>
      <w:r>
        <w:rPr>
          <w:rFonts w:eastAsia="Georgia" w:cs="Georgia" w:ascii="Georgia" w:hAnsi="Georgia"/>
        </w:rPr>
        <w:t xml:space="preserve">These benefits strengthen long-term retention and justify 1.5–2.5% success-fee share.</w:t>
      </w:r>
    </w:p>
    <w:p>
      <w:pPr>
        <w:spacing w:line="271" w:before="240" w:lineRule="auto"/>
      </w:pPr>
      <w:bookmarkStart w:id="58" w:name="scalability_operating_leverage"/>
      <w:r>
        <w:rPr>
          <w:b/>
          <w:sz w:val="33"/>
        </w:rPr>
        <w:t xml:space="preserve">Scalability &amp; Operating Leverage</w:t>
      </w:r>
      <w:bookmarkEnd w:id="58"/>
    </w:p>
    <w:p>
      <w:pPr>
        <w:spacing w:after="210" w:lineRule="auto"/>
      </w:pPr>
      <w:r>
        <w:rPr/>
        <w:t xml:space="preserve">As more dealers and lenders onboard, each new transaction contributes disproportionately to margin expansion:</w:t>
      </w:r>
    </w:p>
    <w:p>
      <w:pPr>
        <w:numPr>
          <w:ilvl w:val="0"/>
          <w:numId w:val="60"/>
        </w:numPr>
        <w:spacing w:lineRule="auto"/>
      </w:pPr>
      <w:r>
        <w:rPr>
          <w:b/>
        </w:rPr>
        <w:t xml:space="preserve">Minimal incremental cost</w:t>
      </w:r>
      <w:r>
        <w:rPr/>
        <w:t xml:space="preserve"> per application (pure software leverage)</w:t>
      </w:r>
    </w:p>
    <w:p>
      <w:pPr>
        <w:numPr>
          <w:ilvl w:val="0"/>
          <w:numId w:val="60"/>
        </w:numPr>
        <w:spacing w:lineRule="auto"/>
      </w:pPr>
      <w:r>
        <w:rPr>
          <w:b/>
        </w:rPr>
        <w:t xml:space="preserve">Expanding data moat</w:t>
      </w:r>
      <w:r>
        <w:rPr/>
        <w:t xml:space="preserve"> improves routing accuracy (better loan performance = stickier lenders)</w:t>
      </w:r>
    </w:p>
    <w:p>
      <w:pPr>
        <w:numPr>
          <w:ilvl w:val="0"/>
          <w:numId w:val="60"/>
        </w:numPr>
        <w:spacing w:lineRule="auto"/>
      </w:pPr>
      <w:r>
        <w:rPr>
          <w:b/>
        </w:rPr>
        <w:t xml:space="preserve">Lender integration reuse</w:t>
      </w:r>
      <w:r>
        <w:rPr/>
        <w:t xml:space="preserve"> across dealers (integration economies of scale)</w:t>
      </w:r>
    </w:p>
    <w:p>
      <w:pPr>
        <w:numPr>
          <w:ilvl w:val="0"/>
          <w:numId w:val="60"/>
        </w:numPr>
        <w:spacing w:lineRule="auto"/>
      </w:pPr>
      <w:r>
        <w:rPr>
          <w:b/>
        </w:rPr>
        <w:t xml:space="preserve">OEM partnerships</w:t>
      </w:r>
      <w:r>
        <w:rPr/>
        <w:t xml:space="preserve"> accelerate distribution (co-marketing, incentive programs)</w:t>
      </w:r>
    </w:p>
    <w:p>
      <w:pPr>
        <w:numPr>
          <w:ilvl w:val="0"/>
          <w:numId w:val="60"/>
        </w:numPr>
        <w:spacing w:lineRule="auto"/>
      </w:pPr>
      <w:r>
        <w:rPr>
          <w:b/>
        </w:rPr>
        <w:t xml:space="preserve">Dealer network effects</w:t>
      </w:r>
      <w:r>
        <w:rPr/>
        <w:t xml:space="preserve"> (peer adoption accelerates subsequent adoption)</w:t>
      </w:r>
    </w:p>
    <w:p>
      <w:pPr>
        <w:spacing w:line="271" w:before="240" w:lineRule="auto"/>
      </w:pPr>
      <w:bookmarkStart w:id="59" w:name="long_term_revenue_potential_years_7_10"/>
      <w:r>
        <w:rPr>
          <w:rFonts w:eastAsia="Georgia" w:cs="Georgia" w:ascii="Georgia" w:hAnsi="Georgia"/>
          <w:b/>
          <w:sz w:val="33"/>
        </w:rPr>
        <w:t xml:space="preserve">Long-Term Revenue Potential (Years 7–10)</w:t>
      </w:r>
      <w:bookmarkEnd w:id="59"/>
    </w:p>
    <w:p>
      <w:pPr>
        <w:spacing w:after="210" w:lineRule="auto"/>
      </w:pPr>
      <w:r>
        <w:rPr>
          <w:rFonts w:eastAsia="Georgia" w:cs="Georgia" w:ascii="Georgia" w:hAnsi="Georgia"/>
        </w:rPr>
        <w:t xml:space="preserve">At scale, across 10–15% of the U.S. equipment financing market: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Value</w:t>
            </w:r>
          </w:p>
        </w:tc>
        <w:tc>
          <w:tcPr>
            <w:tcBorders>
              <w:top w:val="single" w:sz="1" w:space="0" w:color="000000"/>
              <w:left w:val="single" w:sz="1" w:space="0" w:color="000000"/>
              <w:bottom w:val="single" w:sz="1" w:space="0" w:color="000000"/>
            </w:tcBorders>
          </w:tcPr>
          <w:p>
            <w:pPr>
              <w:spacing w:lineRule="auto"/>
            </w:pPr>
            <w:r>
              <w:rPr/>
              <w:t xml:space="preserve">Basis</w:t>
            </w:r>
          </w:p>
        </w:tc>
      </w:tr>
      <w:tr>
        <w:trPr>
          <w:cantSplit/>
        </w:trPr>
        <w:tc>
          <w:tcPr>
            <w:tcBorders>
              <w:top w:val="single" w:sz="1" w:space="0" w:color="000000"/>
              <w:bottom w:val="single" w:sz="1" w:space="0" w:color="000000"/>
            </w:tcBorders>
          </w:tcPr>
          <w:p>
            <w:pPr>
              <w:spacing w:lineRule="auto"/>
            </w:pPr>
            <w:r>
              <w:rPr>
                <w:b/>
              </w:rPr>
              <w:t xml:space="preserve">Loan Volume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$10B–$15B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1,500–2,000 active dealers × $6M–$10M each</w:t>
            </w:r>
          </w:p>
        </w:tc>
      </w:tr>
      <w:tr>
        <w:trPr>
          <w:cantSplit/>
        </w:trPr>
        <w:tc>
          <w:tcPr>
            <w:tcBorders>
              <w:top w:val="single" w:sz="1" w:space="0" w:color="000000"/>
              <w:bottom w:val="single" w:sz="1" w:space="0" w:color="000000"/>
            </w:tcBorders>
          </w:tcPr>
          <w:p>
            <w:pPr>
              <w:spacing w:lineRule="auto"/>
            </w:pPr>
            <w:r>
              <w:rPr>
                <w:b/>
              </w:rPr>
              <w:t xml:space="preserve">Success Fee Revenue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$200M–$300M</w:t>
            </w:r>
          </w:p>
        </w:tc>
        <w:tc>
          <w:tcPr>
            <w:tcBorders>
              <w:top w:val="single" w:sz="1" w:space="0" w:color="000000"/>
              <w:left w:val="single" w:sz="1" w:space="0" w:color="000000"/>
              <w:bottom w:val="single" w:sz="1" w:space="0" w:color="000000"/>
            </w:tcBorders>
          </w:tcPr>
          <w:p>
            <w:pPr>
              <w:spacing w:lineRule="auto"/>
            </w:pPr>
            <w:r>
              <w:rPr/>
              <w:t xml:space="preserve">2% of funded volume</w:t>
            </w:r>
          </w:p>
        </w:tc>
      </w:tr>
      <w:tr>
        <w:trPr>
          <w:cantSplit/>
        </w:trPr>
        <w:tc>
          <w:tcPr>
            <w:tcBorders>
              <w:top w:val="single" w:sz="1" w:space="0" w:color="000000"/>
              <w:bottom w:val="single" w:sz="1" w:space="0" w:color="000000"/>
            </w:tcBorders>
          </w:tcPr>
          <w:p>
            <w:pPr>
              <w:spacing w:lineRule="auto"/>
            </w:pPr>
            <w:r>
              <w:rPr>
                <w:b/>
              </w:rPr>
              <w:t xml:space="preserve">SaaS Revenue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$40M–$60M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1,500–2,000 dealers × $2,000–$4,000/year average</w:t>
            </w:r>
          </w:p>
        </w:tc>
      </w:tr>
      <w:tr>
        <w:trPr>
          <w:cantSplit/>
        </w:trPr>
        <w:tc>
          <w:tcPr>
            <w:tcBorders>
              <w:top w:val="single" w:sz="1" w:space="0" w:color="000000"/>
              <w:bottom w:val="single" w:sz="1" w:space="0" w:color="000000"/>
            </w:tcBorders>
          </w:tcPr>
          <w:p>
            <w:pPr>
              <w:spacing w:lineRule="auto"/>
            </w:pPr>
            <w:r>
              <w:rPr>
                <w:b/>
              </w:rPr>
              <w:t xml:space="preserve">Analytics/Data Revenue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$50M–$80M</w:t>
            </w:r>
          </w:p>
        </w:tc>
        <w:tc>
          <w:tcPr>
            <w:tcBorders>
              <w:top w:val="single" w:sz="1" w:space="0" w:color="000000"/>
              <w:left w:val="single" w:sz="1" w:space="0" w:color="000000"/>
              <w:bottom w:val="single" w:sz="1" w:space="0" w:color="000000"/>
            </w:tcBorders>
          </w:tcPr>
          <w:p>
            <w:pPr>
              <w:spacing w:lineRule="auto"/>
            </w:pPr>
            <w:r>
              <w:rPr/>
              <w:t xml:space="preserve">Multiple OEM contracts; premium analytics SKUs</w:t>
            </w:r>
          </w:p>
        </w:tc>
      </w:tr>
      <w:tr>
        <w:trPr>
          <w:cantSplit/>
        </w:trPr>
        <w:tc>
          <w:tcPr>
            <w:tcBorders>
              <w:top w:val="single" w:sz="1" w:space="0" w:color="000000"/>
              <w:bottom w:val="single" w:sz="1" w:space="0" w:color="000000"/>
            </w:tcBorders>
          </w:tcPr>
          <w:p>
            <w:pPr>
              <w:spacing w:lineRule="auto"/>
            </w:pPr>
            <w:r>
              <w:rPr>
                <w:b/>
              </w:rPr>
              <w:t xml:space="preserve">Total Revenue</w:t>
            </w:r>
          </w:p>
        </w:tc>
        <w:tc>
          <w:tcPr>
            <w:tcBorders>
              <w:top w:val="single" w:sz="1" w:space="0" w:color="000000"/>
              <w:left w:val="single" w:sz="1" w:space="0" w:color="000000"/>
              <w:bottom w:val="single" w:sz="1" w:space="0" w:color="000000"/>
            </w:tcBorders>
          </w:tcPr>
          <w:p>
            <w:pPr>
              <w:spacing w:lineRule="auto"/>
            </w:pPr>
            <w:r>
              <w:rPr>
                <w:b/>
              </w:rPr>
              <w:t xml:space="preserve">$290M–$440M</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b/>
              </w:rPr>
              <w:t xml:space="preserve">EBITDA Margin</w:t>
            </w:r>
          </w:p>
        </w:tc>
        <w:tc>
          <w:tcPr>
            <w:tcBorders>
              <w:top w:val="single" w:sz="1" w:space="0" w:color="000000"/>
              <w:left w:val="single" w:sz="1" w:space="0" w:color="000000"/>
              <w:bottom w:val="single" w:sz="1" w:space="0" w:color="000000"/>
            </w:tcBorders>
          </w:tcPr>
          <w:p>
            <w:pPr>
              <w:spacing w:lineRule="auto"/>
            </w:pPr>
            <w:r>
              <w:rPr>
                <w:b/>
              </w:rPr>
              <w:t xml:space="preserve">40–55%</w:t>
            </w:r>
          </w:p>
        </w:tc>
        <w:tc>
          <w:tcPr>
            <w:tcBorders>
              <w:top w:val="single" w:sz="1" w:space="0" w:color="000000"/>
              <w:left w:val="single" w:sz="1" w:space="0" w:color="000000"/>
              <w:bottom w:val="single" w:sz="1" w:space="0" w:color="000000"/>
            </w:tcBorders>
          </w:tcPr>
          <w:p>
            <w:pPr>
              <w:spacing w:lineRule="auto"/>
            </w:pPr>
            <w:r>
              <w:rPr/>
              <w:t xml:space="preserve">Software leverage + operational scale</w:t>
            </w:r>
          </w:p>
        </w:tc>
      </w:tr>
      <w:tr>
        <w:trPr>
          <w:cantSplit/>
        </w:trPr>
        <w:tc>
          <w:tcPr>
            <w:tcBorders>
              <w:top w:val="single" w:sz="1" w:space="0" w:color="000000"/>
              <w:bottom w:val="single" w:sz="1" w:space="0" w:color="000000"/>
            </w:tcBorders>
          </w:tcPr>
          <w:p>
            <w:pPr>
              <w:spacing w:lineRule="auto"/>
            </w:pPr>
            <w:r>
              <w:rPr>
                <w:b/>
              </w:rPr>
              <w:t xml:space="preserve">Enterprise Value</w:t>
            </w:r>
          </w:p>
        </w:tc>
        <w:tc>
          <w:tcPr>
            <w:tcBorders>
              <w:top w:val="single" w:sz="1" w:space="0" w:color="000000"/>
              <w:left w:val="single" w:sz="1" w:space="0" w:color="000000"/>
              <w:bottom w:val="single" w:sz="1" w:space="0" w:color="000000"/>
            </w:tcBorders>
          </w:tcPr>
          <w:p>
            <w:pPr>
              <w:spacing w:lineRule="auto"/>
            </w:pPr>
            <w:r>
              <w:rPr>
                <w:b/>
              </w:rPr>
              <w:t xml:space="preserve">$3B–$8B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8–12x EBITDA multiple for fintech infrastructure</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0" w:name="bm_12_go_to_market_strategy_dealer_first"/>
      <w:r>
        <w:rPr>
          <w:b/>
          <w:sz w:val="42"/>
        </w:rPr>
        <w:t xml:space="preserve">12. GO-TO-MARKET STRATEGY (Dealer-First)</w:t>
      </w:r>
      <w:bookmarkEnd w:id="60"/>
    </w:p>
    <w:p>
      <w:pPr>
        <w:spacing w:after="210" w:lineRule="auto"/>
      </w:pPr>
      <w:r>
        <w:rPr/>
        <w:t xml:space="preserve">Our go-to-market strategy prioritizes rapid dealer adoption, targeted lender onboarding, and OEM-aligned distribution. Because over 70% of agricultural equipment financing begins at the dealership, the dealer channel is our highest-leverage acquisition path.</w:t>
      </w:r>
    </w:p>
    <w:p>
      <w:pPr>
        <w:spacing w:line="271" w:before="240" w:lineRule="auto"/>
      </w:pPr>
      <w:bookmarkStart w:id="61" w:name="dealer_first_distribution_model"/>
      <w:r>
        <w:rPr>
          <w:b/>
          <w:sz w:val="33"/>
        </w:rPr>
        <w:t xml:space="preserve">Dealer-First Distribution Model</w:t>
      </w:r>
      <w:bookmarkEnd w:id="61"/>
    </w:p>
    <w:p>
      <w:pPr>
        <w:spacing w:after="210" w:lineRule="auto"/>
      </w:pPr>
      <w:r>
        <w:rPr>
          <w:b/>
        </w:rPr>
        <w:t xml:space="preserve">Why Dealers First:</w:t>
      </w:r>
    </w:p>
    <w:p>
      <w:pPr>
        <w:numPr>
          <w:ilvl w:val="0"/>
          <w:numId w:val="61"/>
        </w:numPr>
        <w:spacing w:lineRule="auto"/>
      </w:pPr>
      <w:r>
        <w:rPr/>
        <w:t xml:space="preserve">Originate 70%+ of equipment financing transactions</w:t>
      </w:r>
    </w:p>
    <w:p>
      <w:pPr>
        <w:numPr>
          <w:ilvl w:val="0"/>
          <w:numId w:val="61"/>
        </w:numPr>
        <w:spacing w:lineRule="auto"/>
      </w:pPr>
      <w:r>
        <w:rPr/>
        <w:t xml:space="preserve">Direct access to borrower demand and application volume</w:t>
      </w:r>
    </w:p>
    <w:p>
      <w:pPr>
        <w:numPr>
          <w:ilvl w:val="0"/>
          <w:numId w:val="61"/>
        </w:numPr>
        <w:spacing w:lineRule="auto"/>
      </w:pPr>
      <w:r>
        <w:rPr/>
        <w:t xml:space="preserve">Strong incentive alignment (dealers close sales faster with better financing)</w:t>
      </w:r>
    </w:p>
    <w:p>
      <w:pPr>
        <w:numPr>
          <w:ilvl w:val="0"/>
          <w:numId w:val="61"/>
        </w:numPr>
        <w:spacing w:lineRule="auto"/>
      </w:pPr>
      <w:r>
        <w:rPr/>
        <w:t xml:space="preserve">Natural distribution channel to all stakeholders (farmers, OEMs, lenders)</w:t>
      </w:r>
    </w:p>
    <w:p>
      <w:pPr>
        <w:spacing w:line="271" w:before="240" w:lineRule="auto"/>
      </w:pPr>
      <w:bookmarkStart w:id="62" w:name="phase_1_design_partner_program_mo_fd24f2"/>
      <w:r>
        <w:rPr>
          <w:rFonts w:eastAsia="Georgia" w:cs="Georgia" w:ascii="Georgia" w:hAnsi="Georgia"/>
          <w:b/>
          <w:sz w:val="33"/>
        </w:rPr>
        <w:t xml:space="preserve">Phase 1: Design Partner Program (Months 0–6)</w:t>
      </w:r>
      <w:bookmarkEnd w:id="62"/>
    </w:p>
    <w:p>
      <w:pPr>
        <w:spacing w:after="210" w:lineRule="auto"/>
      </w:pPr>
      <w:r>
        <w:rPr>
          <w:b/>
        </w:rPr>
        <w:t xml:space="preserve">Objective</w:t>
      </w:r>
      <w:r>
        <w:rPr/>
        <w:t xml:space="preserve">: Validate product-market fit and build proof points before broad go-to-market</w:t>
      </w:r>
    </w:p>
    <w:p>
      <w:pPr>
        <w:spacing w:after="210" w:lineRule="auto"/>
      </w:pPr>
      <w:r>
        <w:rPr>
          <w:b/>
        </w:rPr>
        <w:t xml:space="preserve">Target</w:t>
      </w:r>
      <w:r>
        <w:rPr>
          <w:rFonts w:eastAsia="Georgia" w:cs="Georgia" w:ascii="Georgia" w:hAnsi="Georgia"/>
        </w:rPr>
        <w:t xml:space="preserve">: 20–30 design partner dealers</w:t>
      </w:r>
    </w:p>
    <w:p>
      <w:pPr>
        <w:spacing w:after="210" w:lineRule="auto"/>
      </w:pPr>
      <w:r>
        <w:rPr>
          <w:b/>
        </w:rPr>
        <w:t xml:space="preserve">Geography</w:t>
      </w:r>
      <w:r>
        <w:rPr/>
        <w:t xml:space="preserve">: Midwest beachhead (Iowa, Illinois, Nebraska, Minnesota) + Plains (Kansas, North Dakota)</w:t>
      </w:r>
    </w:p>
    <w:p>
      <w:pPr>
        <w:spacing w:after="210" w:lineRule="auto"/>
      </w:pPr>
      <w:r>
        <w:rPr>
          <w:b/>
        </w:rPr>
        <w:t xml:space="preserve">Dealer Criteria:</w:t>
      </w:r>
    </w:p>
    <w:p>
      <w:pPr>
        <w:numPr>
          <w:ilvl w:val="0"/>
          <w:numId w:val="62"/>
        </w:numPr>
        <w:spacing w:lineRule="auto"/>
      </w:pPr>
      <w:r>
        <w:rPr>
          <w:rFonts w:eastAsia="Georgia" w:cs="Georgia" w:ascii="Georgia" w:hAnsi="Georgia"/>
        </w:rPr>
        <w:t xml:space="preserve">Independent or small multi-location (1–10 stores)</w:t>
      </w:r>
    </w:p>
    <w:p>
      <w:pPr>
        <w:numPr>
          <w:ilvl w:val="0"/>
          <w:numId w:val="62"/>
        </w:numPr>
        <w:spacing w:lineRule="auto"/>
      </w:pPr>
      <w:r>
        <w:rPr>
          <w:rFonts w:eastAsia="Georgia" w:cs="Georgia" w:ascii="Georgia" w:hAnsi="Georgia"/>
        </w:rPr>
        <w:t xml:space="preserve">$5M–$50M annual equipment sales</w:t>
      </w:r>
    </w:p>
    <w:p>
      <w:pPr>
        <w:numPr>
          <w:ilvl w:val="0"/>
          <w:numId w:val="62"/>
        </w:numPr>
        <w:spacing w:lineRule="auto"/>
      </w:pPr>
      <w:r>
        <w:rPr/>
        <w:t xml:space="preserve">Currently using 5+ lender relationships</w:t>
      </w:r>
    </w:p>
    <w:p>
      <w:pPr>
        <w:numPr>
          <w:ilvl w:val="0"/>
          <w:numId w:val="62"/>
        </w:numPr>
        <w:spacing w:lineRule="auto"/>
      </w:pPr>
      <w:r>
        <w:rPr/>
        <w:t xml:space="preserve">Willingness to participate in product feedback loop</w:t>
      </w:r>
    </w:p>
    <w:p>
      <w:pPr>
        <w:spacing w:after="210" w:lineRule="auto"/>
      </w:pPr>
      <w:r>
        <w:rPr>
          <w:b/>
        </w:rPr>
        <w:t xml:space="preserve">Incentives for Design Partners:</w:t>
      </w:r>
    </w:p>
    <w:p>
      <w:pPr>
        <w:numPr>
          <w:ilvl w:val="0"/>
          <w:numId w:val="63"/>
        </w:numPr>
        <w:spacing w:lineRule="auto"/>
      </w:pPr>
      <w:r>
        <w:rPr>
          <w:rFonts w:eastAsia="Georgia" w:cs="Georgia" w:ascii="Georgia" w:hAnsi="Georgia"/>
        </w:rPr>
        <w:t xml:space="preserve">Waived/discounted SaaS for first 6–12 months</w:t>
      </w:r>
    </w:p>
    <w:p>
      <w:pPr>
        <w:numPr>
          <w:ilvl w:val="0"/>
          <w:numId w:val="63"/>
        </w:numPr>
        <w:spacing w:lineRule="auto"/>
      </w:pPr>
      <w:r>
        <w:rPr/>
        <w:t xml:space="preserve">Dedicated technical onboarding and success support</w:t>
      </w:r>
    </w:p>
    <w:p>
      <w:pPr>
        <w:numPr>
          <w:ilvl w:val="0"/>
          <w:numId w:val="63"/>
        </w:numPr>
        <w:spacing w:lineRule="auto"/>
      </w:pPr>
      <w:r>
        <w:rPr/>
        <w:t xml:space="preserve">Early access to premium features</w:t>
      </w:r>
    </w:p>
    <w:p>
      <w:pPr>
        <w:numPr>
          <w:ilvl w:val="0"/>
          <w:numId w:val="63"/>
        </w:numPr>
        <w:spacing w:lineRule="auto"/>
      </w:pPr>
      <w:r>
        <w:rPr/>
        <w:t xml:space="preserve">Revenue sharing on lender success fees during pilot</w:t>
      </w:r>
    </w:p>
    <w:p>
      <w:pPr>
        <w:numPr>
          <w:ilvl w:val="0"/>
          <w:numId w:val="63"/>
        </w:numPr>
        <w:spacing w:lineRule="auto"/>
      </w:pPr>
      <w:r>
        <w:rPr/>
        <w:t xml:space="preserve">Co-marketing and case study rights</w:t>
      </w:r>
    </w:p>
    <w:p>
      <w:pPr>
        <w:spacing w:after="210" w:lineRule="auto"/>
      </w:pPr>
      <w:r>
        <w:rPr>
          <w:b/>
        </w:rPr>
        <w:t xml:space="preserve">Lenders Targeted</w:t>
      </w:r>
      <w:r>
        <w:rPr>
          <w:rFonts w:eastAsia="Georgia" w:cs="Georgia" w:ascii="Georgia" w:hAnsi="Georgia"/>
        </w:rPr>
        <w:t xml:space="preserve">: 5–8 regional/community banks, credit unions, and non-captive ag lenders</w:t>
      </w:r>
    </w:p>
    <w:p>
      <w:pPr>
        <w:spacing w:after="210" w:lineRule="auto"/>
      </w:pPr>
      <w:r>
        <w:rPr>
          <w:b/>
        </w:rPr>
        <w:t xml:space="preserve">Success Metrics:</w:t>
      </w:r>
    </w:p>
    <w:p>
      <w:pPr>
        <w:numPr>
          <w:ilvl w:val="0"/>
          <w:numId w:val="64"/>
        </w:numPr>
        <w:spacing w:lineRule="auto"/>
      </w:pPr>
      <w:r>
        <w:rPr/>
        <w:t xml:space="preserve">30% reduction in approval time (vs. current baseline)</w:t>
      </w:r>
    </w:p>
    <w:p>
      <w:pPr>
        <w:numPr>
          <w:ilvl w:val="0"/>
          <w:numId w:val="64"/>
        </w:numPr>
        <w:spacing w:lineRule="auto"/>
      </w:pPr>
      <w:r>
        <w:rPr>
          <w:rFonts w:eastAsia="Georgia" w:cs="Georgia" w:ascii="Georgia" w:hAnsi="Georgia"/>
        </w:rPr>
        <w:t xml:space="preserve">15–20% increase in deal conversion</w:t>
      </w:r>
    </w:p>
    <w:p>
      <w:pPr>
        <w:numPr>
          <w:ilvl w:val="0"/>
          <w:numId w:val="64"/>
        </w:numPr>
        <w:spacing w:lineRule="auto"/>
      </w:pPr>
      <w:r>
        <w:rPr/>
        <w:t xml:space="preserve">80%+ dealer satisfaction (NPS &gt;50)</w:t>
      </w:r>
    </w:p>
    <w:p>
      <w:pPr>
        <w:numPr>
          <w:ilvl w:val="0"/>
          <w:numId w:val="64"/>
        </w:numPr>
        <w:spacing w:lineRule="auto"/>
      </w:pPr>
      <w:r>
        <w:rPr/>
        <w:t xml:space="preserve">Repeatable playbook documented</w:t>
      </w:r>
    </w:p>
    <w:p>
      <w:pPr>
        <w:spacing w:line="271" w:before="240" w:lineRule="auto"/>
      </w:pPr>
      <w:bookmarkStart w:id="63" w:name="phase_2_dealer_acquisition_at_sca_d9df33"/>
      <w:r>
        <w:rPr>
          <w:rFonts w:eastAsia="Georgia" w:cs="Georgia" w:ascii="Georgia" w:hAnsi="Georgia"/>
          <w:b/>
          <w:sz w:val="33"/>
        </w:rPr>
        <w:t xml:space="preserve">Phase 2: Dealer Acquisition at Scale (Months 6–24)</w:t>
      </w:r>
      <w:bookmarkEnd w:id="63"/>
    </w:p>
    <w:p>
      <w:pPr>
        <w:spacing w:after="210" w:lineRule="auto"/>
      </w:pPr>
      <w:r>
        <w:rPr>
          <w:b/>
        </w:rPr>
        <w:t xml:space="preserve">Target</w:t>
      </w:r>
      <w:r>
        <w:rPr>
          <w:rFonts w:eastAsia="Georgia" w:cs="Georgia" w:ascii="Georgia" w:hAnsi="Georgia"/>
        </w:rPr>
        <w:t xml:space="preserve">: 150–200 dealers (covering ~400–500 locations)</w:t>
      </w:r>
    </w:p>
    <w:p>
      <w:pPr>
        <w:spacing w:after="210" w:lineRule="auto"/>
      </w:pPr>
      <w:r>
        <w:rPr>
          <w:b/>
        </w:rPr>
        <w:t xml:space="preserve">Distribution Channels:</w:t>
      </w:r>
    </w:p>
    <w:p>
      <w:pPr>
        <w:spacing w:after="210" w:lineRule="auto"/>
      </w:pPr>
      <w:r>
        <w:rPr>
          <w:b/>
        </w:rPr>
        <w:t xml:space="preserve">a. Direct Sales</w:t>
      </w:r>
    </w:p>
    <w:p>
      <w:pPr>
        <w:numPr>
          <w:ilvl w:val="0"/>
          <w:numId w:val="65"/>
        </w:numPr>
        <w:spacing w:lineRule="auto"/>
      </w:pPr>
      <w:r>
        <w:rPr/>
        <w:t xml:space="preserve">Regional account executives focusing on independent dealer clusters</w:t>
      </w:r>
    </w:p>
    <w:p>
      <w:pPr>
        <w:numPr>
          <w:ilvl w:val="0"/>
          <w:numId w:val="65"/>
        </w:numPr>
        <w:spacing w:lineRule="auto"/>
      </w:pPr>
      <w:r>
        <w:rPr/>
        <w:t xml:space="preserve">Field support for technical integrations and training</w:t>
      </w:r>
    </w:p>
    <w:p>
      <w:pPr>
        <w:numPr>
          <w:ilvl w:val="0"/>
          <w:numId w:val="65"/>
        </w:numPr>
        <w:spacing w:lineRule="auto"/>
      </w:pPr>
      <w:r>
        <w:rPr/>
        <w:t xml:space="preserve">Target: High-touch with $15M+ annual revenue dealers</w:t>
      </w:r>
    </w:p>
    <w:p>
      <w:pPr>
        <w:spacing w:after="210" w:lineRule="auto"/>
      </w:pPr>
      <w:r>
        <w:rPr>
          <w:b/>
        </w:rPr>
        <w:t xml:space="preserve">b. Dealer Associations &amp; Groups</w:t>
      </w:r>
    </w:p>
    <w:p>
      <w:pPr>
        <w:numPr>
          <w:ilvl w:val="0"/>
          <w:numId w:val="66"/>
        </w:numPr>
        <w:spacing w:lineRule="auto"/>
      </w:pPr>
      <w:r>
        <w:rPr/>
        <w:t xml:space="preserve">Partnerships with National Equipment Dealers Association (NEDA)</w:t>
      </w:r>
    </w:p>
    <w:p>
      <w:pPr>
        <w:numPr>
          <w:ilvl w:val="0"/>
          <w:numId w:val="66"/>
        </w:numPr>
        <w:spacing w:lineRule="auto"/>
      </w:pPr>
      <w:r>
        <w:rPr/>
        <w:t xml:space="preserve">Regional dealer groups and consortiums</w:t>
      </w:r>
    </w:p>
    <w:p>
      <w:pPr>
        <w:numPr>
          <w:ilvl w:val="0"/>
          <w:numId w:val="66"/>
        </w:numPr>
        <w:spacing w:lineRule="auto"/>
      </w:pPr>
      <w:r>
        <w:rPr/>
        <w:t xml:space="preserve">Co-marketing and group onboarding pilots</w:t>
      </w:r>
    </w:p>
    <w:p>
      <w:pPr>
        <w:spacing w:after="210" w:lineRule="auto"/>
      </w:pPr>
      <w:r>
        <w:rPr>
          <w:b/>
        </w:rPr>
        <w:t xml:space="preserve">c. OEM Channels</w:t>
      </w:r>
    </w:p>
    <w:p>
      <w:pPr>
        <w:numPr>
          <w:ilvl w:val="0"/>
          <w:numId w:val="67"/>
        </w:numPr>
        <w:spacing w:lineRule="auto"/>
      </w:pPr>
      <w:r>
        <w:rPr/>
        <w:t xml:space="preserve">John Deere dealership networks (pilot)</w:t>
      </w:r>
    </w:p>
    <w:p>
      <w:pPr>
        <w:numPr>
          <w:ilvl w:val="0"/>
          <w:numId w:val="67"/>
        </w:numPr>
        <w:spacing w:lineRule="auto"/>
      </w:pPr>
      <w:r>
        <w:rPr/>
        <w:t xml:space="preserve">CNH dealership networks</w:t>
      </w:r>
    </w:p>
    <w:p>
      <w:pPr>
        <w:numPr>
          <w:ilvl w:val="0"/>
          <w:numId w:val="67"/>
        </w:numPr>
        <w:spacing w:lineRule="auto"/>
      </w:pPr>
      <w:r>
        <w:rPr/>
        <w:t xml:space="preserve">AGCO and Kubota networks (later phase)</w:t>
      </w:r>
    </w:p>
    <w:p>
      <w:pPr>
        <w:spacing w:after="210" w:lineRule="auto"/>
      </w:pPr>
      <w:r>
        <w:rPr>
          <w:b/>
        </w:rPr>
        <w:t xml:space="preserve">d. Technology Partners</w:t>
      </w:r>
    </w:p>
    <w:p>
      <w:pPr>
        <w:numPr>
          <w:ilvl w:val="0"/>
          <w:numId w:val="68"/>
        </w:numPr>
        <w:spacing w:lineRule="auto"/>
      </w:pPr>
      <w:r>
        <w:rPr/>
        <w:t xml:space="preserve">DMS providers (Trimble, ARI, others)</w:t>
      </w:r>
    </w:p>
    <w:p>
      <w:pPr>
        <w:numPr>
          <w:ilvl w:val="0"/>
          <w:numId w:val="68"/>
        </w:numPr>
        <w:spacing w:lineRule="auto"/>
      </w:pPr>
      <w:r>
        <w:rPr/>
        <w:t xml:space="preserve">API integrations reduce onboarding friction</w:t>
      </w:r>
    </w:p>
    <w:p>
      <w:pPr>
        <w:spacing w:after="210" w:lineRule="auto"/>
      </w:pPr>
      <w:r>
        <w:rPr>
          <w:b/>
        </w:rPr>
        <w:t xml:space="preserve">Marketing Strategy:</w:t>
      </w:r>
    </w:p>
    <w:p>
      <w:pPr>
        <w:spacing w:after="210" w:lineRule="auto"/>
      </w:pPr>
      <w:r>
        <w:rPr>
          <w:b/>
        </w:rPr>
        <w:t xml:space="preserve">Dealer-Focused:</w:t>
      </w:r>
    </w:p>
    <w:p>
      <w:pPr>
        <w:numPr>
          <w:ilvl w:val="0"/>
          <w:numId w:val="69"/>
        </w:numPr>
        <w:spacing w:lineRule="auto"/>
      </w:pPr>
      <w:r>
        <w:rPr/>
        <w:t xml:space="preserve">FinTech-for-ag webinars and virtual events</w:t>
      </w:r>
    </w:p>
    <w:p>
      <w:pPr>
        <w:numPr>
          <w:ilvl w:val="0"/>
          <w:numId w:val="69"/>
        </w:numPr>
        <w:spacing w:lineRule="auto"/>
      </w:pPr>
      <w:r>
        <w:rPr/>
        <w:t xml:space="preserve">Farm shows and equipment expos (key regional events)</w:t>
      </w:r>
    </w:p>
    <w:p>
      <w:pPr>
        <w:numPr>
          <w:ilvl w:val="0"/>
          <w:numId w:val="69"/>
        </w:numPr>
        <w:spacing w:lineRule="auto"/>
      </w:pPr>
      <w:r>
        <w:rPr/>
        <w:t xml:space="preserve">Dealer association sponsorships and partnerships</w:t>
      </w:r>
    </w:p>
    <w:p>
      <w:pPr>
        <w:numPr>
          <w:ilvl w:val="0"/>
          <w:numId w:val="69"/>
        </w:numPr>
        <w:spacing w:lineRule="auto"/>
      </w:pPr>
      <w:r>
        <w:rPr/>
        <w:t xml:space="preserve">Case studies and peer testimonials</w:t>
      </w:r>
    </w:p>
    <w:p>
      <w:pPr>
        <w:numPr>
          <w:ilvl w:val="0"/>
          <w:numId w:val="69"/>
        </w:numPr>
        <w:spacing w:lineRule="auto"/>
      </w:pPr>
      <w:r>
        <w:rPr/>
        <w:t xml:space="preserve">ROI calculators (time savings, deal conversion uplift)</w:t>
      </w:r>
    </w:p>
    <w:p>
      <w:pPr>
        <w:spacing w:after="210" w:lineRule="auto"/>
      </w:pPr>
      <w:r>
        <w:rPr>
          <w:b/>
        </w:rPr>
        <w:t xml:space="preserve">Farmer Outreach (Supporting):</w:t>
      </w:r>
    </w:p>
    <w:p>
      <w:pPr>
        <w:numPr>
          <w:ilvl w:val="0"/>
          <w:numId w:val="70"/>
        </w:numPr>
        <w:spacing w:lineRule="auto"/>
      </w:pPr>
      <w:r>
        <w:rPr/>
        <w:t xml:space="preserve">Co-branded marketing with participating dealers</w:t>
      </w:r>
    </w:p>
    <w:p>
      <w:pPr>
        <w:numPr>
          <w:ilvl w:val="0"/>
          <w:numId w:val="70"/>
        </w:numPr>
        <w:spacing w:lineRule="auto"/>
      </w:pPr>
      <w:r>
        <w:rPr/>
        <w:t xml:space="preserve">Digital campaigns in rural regions (Facebook, farm publications)</w:t>
      </w:r>
    </w:p>
    <w:p>
      <w:pPr>
        <w:numPr>
          <w:ilvl w:val="0"/>
          <w:numId w:val="70"/>
        </w:numPr>
        <w:spacing w:lineRule="auto"/>
      </w:pPr>
      <w:r>
        <w:rPr/>
        <w:t xml:space="preserve">Educational content on financing options</w:t>
      </w:r>
    </w:p>
    <w:p>
      <w:pPr>
        <w:spacing w:line="271" w:before="240" w:lineRule="auto"/>
      </w:pPr>
      <w:bookmarkStart w:id="64" w:name="phase_3_lender_onboarding_at_scal_912e6a"/>
      <w:r>
        <w:rPr>
          <w:b/>
          <w:sz w:val="33"/>
        </w:rPr>
        <w:t xml:space="preserve">Phase 3: Lender Onboarding at Scale (Parallel to Dealer Growth)</w:t>
      </w:r>
      <w:bookmarkEnd w:id="64"/>
    </w:p>
    <w:p>
      <w:pPr>
        <w:spacing w:after="210" w:lineRule="auto"/>
      </w:pPr>
      <w:r>
        <w:rPr>
          <w:b/>
        </w:rPr>
        <w:t xml:space="preserve">Objective</w:t>
      </w:r>
      <w:r>
        <w:rPr/>
        <w:t xml:space="preserve">: Build network effects by adding lenders that serve the dealers we onboard</w:t>
      </w:r>
    </w:p>
    <w:p>
      <w:pPr>
        <w:spacing w:after="210" w:lineRule="auto"/>
      </w:pPr>
      <w:r>
        <w:rPr>
          <w:b/>
        </w:rPr>
        <w:t xml:space="preserve">Lender Priority Sequence:</w:t>
      </w:r>
    </w:p>
    <w:p>
      <w:pPr>
        <w:numPr>
          <w:ilvl w:val="0"/>
          <w:numId w:val="71"/>
        </w:numPr>
        <w:spacing w:lineRule="auto"/>
      </w:pPr>
      <w:r>
        <w:rPr>
          <w:b/>
        </w:rPr>
        <w:t xml:space="preserve">Regional Banks</w:t>
      </w:r>
      <w:r>
        <w:rPr>
          <w:rFonts w:eastAsia="Georgia" w:cs="Georgia" w:ascii="Georgia" w:hAnsi="Georgia"/>
        </w:rPr>
        <w:t xml:space="preserve"> (Months 3–9): 3–5 banks serving Midwest/Plains agricultural regions</w:t>
      </w:r>
    </w:p>
    <w:p>
      <w:pPr>
        <w:numPr>
          <w:ilvl w:val="0"/>
          <w:numId w:val="71"/>
        </w:numPr>
        <w:spacing w:lineRule="auto"/>
      </w:pPr>
      <w:r>
        <w:rPr>
          <w:b/>
        </w:rPr>
        <w:t xml:space="preserve">Credit Unions</w:t>
      </w:r>
      <w:r>
        <w:rPr>
          <w:rFonts w:eastAsia="Georgia" w:cs="Georgia" w:ascii="Georgia" w:hAnsi="Georgia"/>
        </w:rPr>
        <w:t xml:space="preserve"> (Months 6–12): 2–4 CUs with rural focus</w:t>
      </w:r>
    </w:p>
    <w:p>
      <w:pPr>
        <w:numPr>
          <w:ilvl w:val="0"/>
          <w:numId w:val="71"/>
        </w:numPr>
        <w:spacing w:lineRule="auto"/>
      </w:pPr>
      <w:r>
        <w:rPr>
          <w:b/>
        </w:rPr>
        <w:t xml:space="preserve">Farm Credit Associations</w:t>
      </w:r>
      <w:r>
        <w:rPr>
          <w:rFonts w:eastAsia="Georgia" w:cs="Georgia" w:ascii="Georgia" w:hAnsi="Georgia"/>
        </w:rPr>
        <w:t xml:space="preserve"> (Months 9–18): 2–4 FCS associations</w:t>
      </w:r>
    </w:p>
    <w:p>
      <w:pPr>
        <w:numPr>
          <w:ilvl w:val="0"/>
          <w:numId w:val="71"/>
        </w:numPr>
        <w:spacing w:lineRule="auto"/>
      </w:pPr>
      <w:r>
        <w:rPr>
          <w:b/>
        </w:rPr>
        <w:t xml:space="preserve">Non-Captive Ag Lenders</w:t>
      </w:r>
      <w:r>
        <w:rPr>
          <w:rFonts w:eastAsia="Georgia" w:cs="Georgia" w:ascii="Georgia" w:hAnsi="Georgia"/>
        </w:rPr>
        <w:t xml:space="preserve"> (Months 12–24): Specialized ag finance providers (AgDirect, CIT, others)</w:t>
      </w:r>
    </w:p>
    <w:p>
      <w:pPr>
        <w:spacing w:after="210" w:lineRule="auto"/>
      </w:pPr>
      <w:r>
        <w:rPr>
          <w:b/>
        </w:rPr>
        <w:t xml:space="preserve">Lender Value Prop (Pitch):</w:t>
      </w:r>
    </w:p>
    <w:p>
      <w:pPr>
        <w:numPr>
          <w:ilvl w:val="0"/>
          <w:numId w:val="72"/>
        </w:numPr>
        <w:spacing w:lineRule="auto"/>
      </w:pPr>
      <w:r>
        <w:rPr/>
        <w:t xml:space="preserve">Access to dealer-originated deal flow (previously unavailable)</w:t>
      </w:r>
    </w:p>
    <w:p>
      <w:pPr>
        <w:numPr>
          <w:ilvl w:val="0"/>
          <w:numId w:val="72"/>
        </w:numPr>
        <w:spacing w:lineRule="auto"/>
      </w:pPr>
      <w:r>
        <w:rPr>
          <w:rFonts w:eastAsia="Georgia" w:cs="Georgia" w:ascii="Georgia" w:hAnsi="Georgia"/>
        </w:rPr>
        <w:t xml:space="preserve">Standardized applications reduce underwriting time 20–30%</w:t>
      </w:r>
    </w:p>
    <w:p>
      <w:pPr>
        <w:numPr>
          <w:ilvl w:val="0"/>
          <w:numId w:val="72"/>
        </w:numPr>
        <w:spacing w:lineRule="auto"/>
      </w:pPr>
      <w:r>
        <w:rPr/>
        <w:t xml:space="preserve">Better credit selection via routing engine</w:t>
      </w:r>
    </w:p>
    <w:p>
      <w:pPr>
        <w:numPr>
          <w:ilvl w:val="0"/>
          <w:numId w:val="72"/>
        </w:numPr>
        <w:spacing w:lineRule="auto"/>
      </w:pPr>
      <w:r>
        <w:rPr/>
        <w:t xml:space="preserve">Performance analytics to improve portfolio quality</w:t>
      </w:r>
    </w:p>
    <w:p>
      <w:pPr>
        <w:numPr>
          <w:ilvl w:val="0"/>
          <w:numId w:val="72"/>
        </w:numPr>
        <w:spacing w:lineRule="auto"/>
      </w:pPr>
      <w:r>
        <w:rPr/>
        <w:t xml:space="preserve">Compliance automation reduces audit risk</w:t>
      </w:r>
    </w:p>
    <w:p>
      <w:pPr>
        <w:spacing w:after="210" w:lineRule="auto"/>
      </w:pPr>
      <w:r>
        <w:rPr>
          <w:b/>
        </w:rPr>
        <w:t xml:space="preserve">Integration Complexity &amp; Timeline:</w:t>
      </w:r>
    </w:p>
    <w:p>
      <w:pPr>
        <w:numPr>
          <w:ilvl w:val="0"/>
          <w:numId w:val="73"/>
        </w:numPr>
        <w:spacing w:lineRule="auto"/>
      </w:pPr>
      <w:r>
        <w:rPr>
          <w:rFonts w:eastAsia="Georgia" w:cs="Georgia" w:ascii="Georgia" w:hAnsi="Georgia"/>
        </w:rPr>
        <w:t xml:space="preserve">Light: Portal/upload model = 1–2 weeks to integrate</w:t>
      </w:r>
    </w:p>
    <w:p>
      <w:pPr>
        <w:numPr>
          <w:ilvl w:val="0"/>
          <w:numId w:val="73"/>
        </w:numPr>
        <w:spacing w:lineRule="auto"/>
      </w:pPr>
      <w:r>
        <w:rPr>
          <w:rFonts w:eastAsia="Georgia" w:cs="Georgia" w:ascii="Georgia" w:hAnsi="Georgia"/>
        </w:rPr>
        <w:t xml:space="preserve">Medium: API integration = 4–6 weeks</w:t>
      </w:r>
    </w:p>
    <w:p>
      <w:pPr>
        <w:numPr>
          <w:ilvl w:val="0"/>
          <w:numId w:val="73"/>
        </w:numPr>
        <w:spacing w:lineRule="auto"/>
      </w:pPr>
      <w:r>
        <w:rPr>
          <w:rFonts w:eastAsia="Georgia" w:cs="Georgia" w:ascii="Georgia" w:hAnsi="Georgia"/>
        </w:rPr>
        <w:t xml:space="preserve">Heavy: Full workflow integration = 8–12 weeks</w:t>
      </w:r>
    </w:p>
    <w:p>
      <w:pPr>
        <w:spacing w:after="210" w:lineRule="auto"/>
      </w:pPr>
      <w:r>
        <w:rPr>
          <w:b/>
        </w:rPr>
        <w:t xml:space="preserve">Success Metrics:</w:t>
      </w:r>
    </w:p>
    <w:p>
      <w:pPr>
        <w:numPr>
          <w:ilvl w:val="0"/>
          <w:numId w:val="74"/>
        </w:numPr>
        <w:spacing w:lineRule="auto"/>
      </w:pPr>
      <w:r>
        <w:rPr>
          <w:rFonts w:eastAsia="Georgia" w:cs="Georgia" w:ascii="Georgia" w:hAnsi="Georgia"/>
        </w:rPr>
        <w:t xml:space="preserve">8–12 integrated lenders by end of Year 2</w:t>
      </w:r>
    </w:p>
    <w:p>
      <w:pPr>
        <w:numPr>
          <w:ilvl w:val="0"/>
          <w:numId w:val="74"/>
        </w:numPr>
        <w:spacing w:lineRule="auto"/>
      </w:pPr>
      <w:r>
        <w:rPr/>
        <w:t xml:space="preserve">20%+ volume share from platform deals (vs. direct dealer relationships)</w:t>
      </w:r>
    </w:p>
    <w:p>
      <w:pPr>
        <w:numPr>
          <w:ilvl w:val="0"/>
          <w:numId w:val="74"/>
        </w:numPr>
        <w:spacing w:lineRule="auto"/>
      </w:pPr>
      <w:r>
        <w:rPr/>
        <w:t xml:space="preserve">&lt;30 day average underwriting SLA</w:t>
      </w:r>
    </w:p>
    <w:p>
      <w:pPr>
        <w:numPr>
          <w:ilvl w:val="0"/>
          <w:numId w:val="74"/>
        </w:numPr>
        <w:spacing w:after="210" w:lineRule="auto"/>
        <w:ind w:left="630"/>
      </w:pPr>
      <w:r>
        <w:rPr>
          <w:color w:val="666666"/>
        </w:rPr>
        <w:t xml:space="preserve">80% application completion rate</w:t>
      </w:r>
    </w:p>
    <w:p>
      <w:pPr>
        <w:spacing w:line="271" w:before="240" w:lineRule="auto"/>
      </w:pPr>
      <w:bookmarkStart w:id="65" w:name="geographic_beachhead_strategy"/>
      <w:r>
        <w:rPr>
          <w:b/>
          <w:sz w:val="33"/>
        </w:rPr>
        <w:t xml:space="preserve">Geographic Beachhead Strategy</w:t>
      </w:r>
      <w:bookmarkEnd w:id="65"/>
    </w:p>
    <w:p>
      <w:pPr>
        <w:spacing w:after="210" w:lineRule="auto"/>
      </w:pPr>
      <w:r>
        <w:rPr>
          <w:b/>
        </w:rPr>
        <w:t xml:space="preserve">Phase 1 Beachheads (Months 0–12):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State</w:t>
            </w:r>
          </w:p>
        </w:tc>
        <w:tc>
          <w:tcPr>
            <w:tcBorders>
              <w:top w:val="single" w:sz="1" w:space="0" w:color="000000"/>
              <w:left w:val="single" w:sz="1" w:space="0" w:color="000000"/>
              <w:bottom w:val="single" w:sz="1" w:space="0" w:color="000000"/>
            </w:tcBorders>
          </w:tcPr>
          <w:p>
            <w:pPr>
              <w:spacing w:lineRule="auto"/>
            </w:pPr>
            <w:r>
              <w:rPr/>
              <w:t xml:space="preserve">Rationale</w:t>
            </w:r>
          </w:p>
        </w:tc>
        <w:tc>
          <w:tcPr>
            <w:tcBorders>
              <w:top w:val="single" w:sz="1" w:space="0" w:color="000000"/>
              <w:left w:val="single" w:sz="1" w:space="0" w:color="000000"/>
              <w:bottom w:val="single" w:sz="1" w:space="0" w:color="000000"/>
            </w:tcBorders>
          </w:tcPr>
          <w:p>
            <w:pPr>
              <w:spacing w:lineRule="auto"/>
            </w:pPr>
            <w:r>
              <w:rPr/>
              <w:t xml:space="preserve">Dealer Count</w:t>
            </w:r>
          </w:p>
        </w:tc>
        <w:tc>
          <w:tcPr>
            <w:tcBorders>
              <w:top w:val="single" w:sz="1" w:space="0" w:color="000000"/>
              <w:left w:val="single" w:sz="1" w:space="0" w:color="000000"/>
              <w:bottom w:val="single" w:sz="1" w:space="0" w:color="000000"/>
            </w:tcBorders>
          </w:tcPr>
          <w:p>
            <w:pPr>
              <w:spacing w:lineRule="auto"/>
            </w:pPr>
            <w:r>
              <w:rPr/>
              <w:t xml:space="preserve">Lenders</w:t>
            </w:r>
          </w:p>
        </w:tc>
      </w:tr>
      <w:tr>
        <w:trPr>
          <w:cantSplit/>
        </w:trPr>
        <w:tc>
          <w:tcPr>
            <w:tcBorders>
              <w:top w:val="single" w:sz="1" w:space="0" w:color="000000"/>
              <w:bottom w:val="single" w:sz="1" w:space="0" w:color="000000"/>
            </w:tcBorders>
          </w:tcPr>
          <w:p>
            <w:pPr>
              <w:spacing w:lineRule="auto"/>
            </w:pPr>
            <w:r>
              <w:rPr>
                <w:b/>
              </w:rPr>
              <w:t xml:space="preserve">Iowa</w:t>
            </w:r>
          </w:p>
        </w:tc>
        <w:tc>
          <w:tcPr>
            <w:tcBorders>
              <w:top w:val="single" w:sz="1" w:space="0" w:color="000000"/>
              <w:left w:val="single" w:sz="1" w:space="0" w:color="000000"/>
              <w:bottom w:val="single" w:sz="1" w:space="0" w:color="000000"/>
            </w:tcBorders>
          </w:tcPr>
          <w:p>
            <w:pPr>
              <w:spacing w:lineRule="auto"/>
            </w:pPr>
            <w:r>
              <w:rPr/>
              <w:t xml:space="preserve">Highest equipment concentration; NEDA hub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8–10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2–3</w:t>
            </w:r>
          </w:p>
        </w:tc>
      </w:tr>
      <w:tr>
        <w:trPr>
          <w:cantSplit/>
        </w:trPr>
        <w:tc>
          <w:tcPr>
            <w:tcBorders>
              <w:top w:val="single" w:sz="1" w:space="0" w:color="000000"/>
              <w:bottom w:val="single" w:sz="1" w:space="0" w:color="000000"/>
            </w:tcBorders>
          </w:tcPr>
          <w:p>
            <w:pPr>
              <w:spacing w:lineRule="auto"/>
            </w:pPr>
            <w:r>
              <w:rPr>
                <w:b/>
              </w:rPr>
              <w:t xml:space="preserve">Illinois</w:t>
            </w:r>
          </w:p>
        </w:tc>
        <w:tc>
          <w:tcPr>
            <w:tcBorders>
              <w:top w:val="single" w:sz="1" w:space="0" w:color="000000"/>
              <w:left w:val="single" w:sz="1" w:space="0" w:color="000000"/>
              <w:bottom w:val="single" w:sz="1" w:space="0" w:color="000000"/>
            </w:tcBorders>
          </w:tcPr>
          <w:p>
            <w:pPr>
              <w:spacing w:lineRule="auto"/>
            </w:pPr>
            <w:r>
              <w:rPr/>
              <w:t xml:space="preserve">Strong independent dealer base; near metro markets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2–3</w:t>
            </w:r>
          </w:p>
        </w:tc>
      </w:tr>
      <w:tr>
        <w:trPr>
          <w:cantSplit/>
        </w:trPr>
        <w:tc>
          <w:tcPr>
            <w:tcBorders>
              <w:top w:val="single" w:sz="1" w:space="0" w:color="000000"/>
              <w:bottom w:val="single" w:sz="1" w:space="0" w:color="000000"/>
            </w:tcBorders>
          </w:tcPr>
          <w:p>
            <w:pPr>
              <w:spacing w:lineRule="auto"/>
            </w:pPr>
            <w:r>
              <w:rPr>
                <w:b/>
              </w:rPr>
              <w:t xml:space="preserve">Nebraska</w:t>
            </w:r>
          </w:p>
        </w:tc>
        <w:tc>
          <w:tcPr>
            <w:tcBorders>
              <w:top w:val="single" w:sz="1" w:space="0" w:color="000000"/>
              <w:left w:val="single" w:sz="1" w:space="0" w:color="000000"/>
              <w:bottom w:val="single" w:sz="1" w:space="0" w:color="000000"/>
            </w:tcBorders>
          </w:tcPr>
          <w:p>
            <w:pPr>
              <w:spacing w:lineRule="auto"/>
            </w:pPr>
            <w:r>
              <w:rPr/>
              <w:t xml:space="preserve">High farm consolidation; strong Farm Credit presence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w:t>
            </w:r>
          </w:p>
        </w:tc>
      </w:tr>
      <w:tr>
        <w:trPr>
          <w:cantSplit/>
        </w:trPr>
        <w:tc>
          <w:tcPr>
            <w:tcBorders>
              <w:top w:val="single" w:sz="1" w:space="0" w:color="000000"/>
              <w:bottom w:val="single" w:sz="1" w:space="0" w:color="000000"/>
            </w:tcBorders>
          </w:tcPr>
          <w:p>
            <w:pPr>
              <w:spacing w:lineRule="auto"/>
            </w:pPr>
            <w:r>
              <w:rPr>
                <w:b/>
              </w:rPr>
              <w:t xml:space="preserve">Minnesota</w:t>
            </w:r>
          </w:p>
        </w:tc>
        <w:tc>
          <w:tcPr>
            <w:tcBorders>
              <w:top w:val="single" w:sz="1" w:space="0" w:color="000000"/>
              <w:left w:val="single" w:sz="1" w:space="0" w:color="000000"/>
              <w:bottom w:val="single" w:sz="1" w:space="0" w:color="000000"/>
            </w:tcBorders>
          </w:tcPr>
          <w:p>
            <w:pPr>
              <w:spacing w:lineRule="auto"/>
            </w:pPr>
            <w:r>
              <w:rPr/>
              <w:t xml:space="preserve">Large equipment market; diverse lender base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2–3</w:t>
            </w:r>
          </w:p>
        </w:tc>
      </w:tr>
    </w:tbl>
    <w:p>
      <w:pPr>
        <w:spacing w:lineRule="auto"/>
      </w:pPr>
    </w:p>
    <w:p>
      <w:pPr>
        <w:spacing w:after="210" w:lineRule="auto"/>
      </w:pPr>
      <w:r>
        <w:rPr>
          <w:b/>
        </w:rPr>
        <w:t xml:space="preserve">Phase 2 Expansion (Months 12–24):</w:t>
      </w:r>
    </w:p>
    <w:p>
      <w:pPr>
        <w:numPr>
          <w:ilvl w:val="0"/>
          <w:numId w:val="75"/>
        </w:numPr>
        <w:spacing w:lineRule="auto"/>
      </w:pPr>
      <w:r>
        <w:rPr/>
        <w:t xml:space="preserve">Extend to Plains (Kansas, North Dakota, South Dakota, Oklahoma)</w:t>
      </w:r>
    </w:p>
    <w:p>
      <w:pPr>
        <w:numPr>
          <w:ilvl w:val="0"/>
          <w:numId w:val="75"/>
        </w:numPr>
        <w:spacing w:lineRule="auto"/>
      </w:pPr>
      <w:r>
        <w:rPr/>
        <w:t xml:space="preserve">Begin Southeast (Georgia, Alabama, Kentucky)</w:t>
      </w:r>
    </w:p>
    <w:p>
      <w:pPr>
        <w:numPr>
          <w:ilvl w:val="0"/>
          <w:numId w:val="75"/>
        </w:numPr>
        <w:spacing w:lineRule="auto"/>
      </w:pPr>
      <w:r>
        <w:rPr>
          <w:rFonts w:eastAsia="Georgia" w:cs="Georgia" w:ascii="Georgia" w:hAnsi="Georgia"/>
        </w:rPr>
        <w:t xml:space="preserve">Target total: 40–60 dealers across 3–4 regions</w:t>
      </w:r>
    </w:p>
    <w:p>
      <w:pPr>
        <w:spacing w:line="271" w:before="240" w:lineRule="auto"/>
      </w:pPr>
      <w:bookmarkStart w:id="66" w:name="oem_partnership_strategy"/>
      <w:r>
        <w:rPr>
          <w:b/>
          <w:sz w:val="33"/>
        </w:rPr>
        <w:t xml:space="preserve">OEM Partnership Strategy</w:t>
      </w:r>
      <w:bookmarkEnd w:id="66"/>
    </w:p>
    <w:p>
      <w:pPr>
        <w:spacing w:after="210" w:lineRule="auto"/>
      </w:pPr>
      <w:r>
        <w:rPr>
          <w:b/>
        </w:rPr>
        <w:t xml:space="preserve">Timing</w:t>
      </w:r>
      <w:r>
        <w:rPr/>
        <w:t xml:space="preserve">: Post-validation (after design partner program)</w:t>
      </w:r>
    </w:p>
    <w:p>
      <w:pPr>
        <w:spacing w:after="210" w:lineRule="auto"/>
      </w:pPr>
      <w:r>
        <w:rPr>
          <w:b/>
        </w:rPr>
        <w:t xml:space="preserve">OEM Approach Sequence:</w:t>
      </w:r>
    </w:p>
    <w:p>
      <w:pPr>
        <w:numPr>
          <w:ilvl w:val="0"/>
          <w:numId w:val="76"/>
        </w:numPr>
        <w:spacing w:lineRule="auto"/>
      </w:pPr>
      <w:r>
        <w:rPr>
          <w:b/>
        </w:rPr>
        <w:t xml:space="preserve">John Deere</w:t>
      </w:r>
      <w:r>
        <w:rPr/>
        <w:t xml:space="preserve"> (as industry leader): Co-branded dealer program; incentive tracking; financing performance data</w:t>
      </w:r>
    </w:p>
    <w:p>
      <w:pPr>
        <w:numPr>
          <w:ilvl w:val="0"/>
          <w:numId w:val="76"/>
        </w:numPr>
        <w:spacing w:lineRule="auto"/>
      </w:pPr>
      <w:r>
        <w:rPr>
          <w:b/>
        </w:rPr>
        <w:t xml:space="preserve">CNH</w:t>
      </w:r>
      <w:r>
        <w:rPr/>
        <w:t xml:space="preserve"> (second-largest): Similar partnership structure</w:t>
      </w:r>
    </w:p>
    <w:p>
      <w:pPr>
        <w:numPr>
          <w:ilvl w:val="0"/>
          <w:numId w:val="76"/>
        </w:numPr>
        <w:spacing w:lineRule="auto"/>
      </w:pPr>
      <w:r>
        <w:rPr>
          <w:b/>
        </w:rPr>
        <w:t xml:space="preserve">AGCO, Kubota</w:t>
      </w:r>
      <w:r>
        <w:rPr/>
        <w:t xml:space="preserve">: Follow-on partnerships based on dealer concentration</w:t>
      </w:r>
    </w:p>
    <w:p>
      <w:pPr>
        <w:spacing w:after="210" w:lineRule="auto"/>
      </w:pPr>
      <w:r>
        <w:rPr>
          <w:b/>
        </w:rPr>
        <w:t xml:space="preserve">OEM Value Props:</w:t>
      </w:r>
    </w:p>
    <w:p>
      <w:pPr>
        <w:numPr>
          <w:ilvl w:val="0"/>
          <w:numId w:val="77"/>
        </w:numPr>
        <w:spacing w:lineRule="auto"/>
      </w:pPr>
      <w:r>
        <w:rPr/>
        <w:t xml:space="preserve">Increased dealer throughput and financing conversion</w:t>
      </w:r>
    </w:p>
    <w:p>
      <w:pPr>
        <w:numPr>
          <w:ilvl w:val="0"/>
          <w:numId w:val="77"/>
        </w:numPr>
        <w:spacing w:lineRule="auto"/>
      </w:pPr>
      <w:r>
        <w:rPr/>
        <w:t xml:space="preserve">Visibility into equipment financing performance</w:t>
      </w:r>
    </w:p>
    <w:p>
      <w:pPr>
        <w:numPr>
          <w:ilvl w:val="0"/>
          <w:numId w:val="77"/>
        </w:numPr>
        <w:spacing w:lineRule="auto"/>
      </w:pPr>
      <w:r>
        <w:rPr/>
        <w:t xml:space="preserve">Automated incentive program tracking and ROI measurement</w:t>
      </w:r>
    </w:p>
    <w:p>
      <w:pPr>
        <w:numPr>
          <w:ilvl w:val="0"/>
          <w:numId w:val="77"/>
        </w:numPr>
        <w:spacing w:lineRule="auto"/>
      </w:pPr>
      <w:r>
        <w:rPr/>
        <w:t xml:space="preserve">Competitive intelligence (anonymized)</w:t>
      </w:r>
    </w:p>
    <w:p>
      <w:pPr>
        <w:spacing w:after="210" w:lineRule="auto"/>
      </w:pPr>
      <w:r>
        <w:rPr>
          <w:b/>
        </w:rPr>
        <w:t xml:space="preserve">Potential</w:t>
      </w:r>
      <w:r>
        <w:rPr>
          <w:rFonts w:eastAsia="Georgia" w:cs="Georgia" w:ascii="Georgia" w:hAnsi="Georgia"/>
        </w:rPr>
        <w:t xml:space="preserve">: OEM co-marketing could accelerate dealer adoption 3–4x</w:t>
      </w:r>
    </w:p>
    <w:p>
      <w:pPr>
        <w:spacing w:line="271" w:before="240" w:lineRule="auto"/>
      </w:pPr>
      <w:bookmarkStart w:id="67" w:name="bm_12_month_gtm_targets_design_pa_8afcff"/>
      <w:r>
        <w:rPr>
          <w:b/>
          <w:sz w:val="33"/>
        </w:rPr>
        <w:t xml:space="preserve">12-Month GTM Targets (Design Partner Phase)</w:t>
      </w:r>
      <w:bookmarkEnd w:id="6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Target</w:t>
            </w:r>
          </w:p>
        </w:tc>
        <w:tc>
          <w:tcPr>
            <w:tcBorders>
              <w:top w:val="single" w:sz="1" w:space="0" w:color="000000"/>
              <w:left w:val="single" w:sz="1" w:space="0" w:color="000000"/>
              <w:bottom w:val="single" w:sz="1" w:space="0" w:color="000000"/>
            </w:tcBorders>
          </w:tcPr>
          <w:p>
            <w:pPr>
              <w:spacing w:lineRule="auto"/>
            </w:pPr>
            <w:r>
              <w:rPr/>
              <w:t xml:space="preserve">Range</w:t>
            </w:r>
          </w:p>
        </w:tc>
      </w:tr>
      <w:tr>
        <w:trPr>
          <w:cantSplit/>
        </w:trPr>
        <w:tc>
          <w:tcPr>
            <w:tcBorders>
              <w:top w:val="single" w:sz="1" w:space="0" w:color="000000"/>
              <w:bottom w:val="single" w:sz="1" w:space="0" w:color="000000"/>
            </w:tcBorders>
          </w:tcPr>
          <w:p>
            <w:pPr>
              <w:spacing w:lineRule="auto"/>
            </w:pPr>
            <w:r>
              <w:rPr>
                <w:b/>
              </w:rPr>
              <w:t xml:space="preserve">Dealers Onboarded</w:t>
            </w:r>
          </w:p>
        </w:tc>
        <w:tc>
          <w:tcPr>
            <w:tcBorders>
              <w:top w:val="single" w:sz="1" w:space="0" w:color="000000"/>
              <w:left w:val="single" w:sz="1" w:space="0" w:color="000000"/>
              <w:bottom w:val="single" w:sz="1" w:space="0" w:color="000000"/>
            </w:tcBorders>
          </w:tcPr>
          <w:p>
            <w:pPr>
              <w:spacing w:lineRule="auto"/>
            </w:pPr>
            <w:r>
              <w:rPr/>
              <w:t xml:space="preserve">30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20–40</w:t>
            </w:r>
          </w:p>
        </w:tc>
      </w:tr>
      <w:tr>
        <w:trPr>
          <w:cantSplit/>
        </w:trPr>
        <w:tc>
          <w:tcPr>
            <w:tcBorders>
              <w:top w:val="single" w:sz="1" w:space="0" w:color="000000"/>
              <w:bottom w:val="single" w:sz="1" w:space="0" w:color="000000"/>
            </w:tcBorders>
          </w:tcPr>
          <w:p>
            <w:pPr>
              <w:spacing w:lineRule="auto"/>
            </w:pPr>
            <w:r>
              <w:rPr>
                <w:b/>
              </w:rPr>
              <w:t xml:space="preserve">Locations Covered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100–200</w:t>
            </w:r>
          </w:p>
        </w:tc>
      </w:tr>
      <w:tr>
        <w:trPr>
          <w:cantSplit/>
        </w:trPr>
        <w:tc>
          <w:tcPr>
            <w:tcBorders>
              <w:top w:val="single" w:sz="1" w:space="0" w:color="000000"/>
              <w:bottom w:val="single" w:sz="1" w:space="0" w:color="000000"/>
            </w:tcBorders>
          </w:tcPr>
          <w:p>
            <w:pPr>
              <w:spacing w:lineRule="auto"/>
            </w:pPr>
            <w:r>
              <w:rPr>
                <w:b/>
              </w:rPr>
              <w:t xml:space="preserve">Funded Loan Volume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$150M–$250M</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b/>
              </w:rPr>
              <w:t xml:space="preserve">Lenders Integrated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5–10</w:t>
            </w:r>
          </w:p>
        </w:tc>
      </w:tr>
      <w:tr>
        <w:trPr>
          <w:cantSplit/>
        </w:trPr>
        <w:tc>
          <w:tcPr>
            <w:tcBorders>
              <w:top w:val="single" w:sz="1" w:space="0" w:color="000000"/>
              <w:bottom w:val="single" w:sz="1" w:space="0" w:color="000000"/>
            </w:tcBorders>
          </w:tcPr>
          <w:p>
            <w:pPr>
              <w:spacing w:lineRule="auto"/>
            </w:pPr>
            <w:r>
              <w:rPr>
                <w:b/>
              </w:rPr>
              <w:t xml:space="preserve">Application Volume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~2,000–3,000</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b/>
              </w:rPr>
              <w:t xml:space="preserve">Approval Time Reduction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30–40%</w:t>
            </w:r>
          </w:p>
        </w:tc>
        <w:tc>
          <w:tcPr>
            <w:tcBorders>
              <w:top w:val="single" w:sz="1" w:space="0" w:color="000000"/>
              <w:left w:val="single" w:sz="1" w:space="0" w:color="000000"/>
              <w:bottom w:val="single" w:sz="1" w:space="0" w:color="000000"/>
            </w:tcBorders>
          </w:tcPr>
          <w:p>
            <w:pPr>
              <w:spacing w:lineRule="auto"/>
            </w:pPr>
            <w:r>
              <w:rPr/>
              <w:t xml:space="preserve">vs. baseline</w:t>
            </w:r>
          </w:p>
        </w:tc>
      </w:tr>
      <w:tr>
        <w:trPr>
          <w:cantSplit/>
        </w:trPr>
        <w:tc>
          <w:tcPr>
            <w:tcBorders>
              <w:top w:val="single" w:sz="1" w:space="0" w:color="000000"/>
              <w:bottom w:val="single" w:sz="1" w:space="0" w:color="000000"/>
            </w:tcBorders>
          </w:tcPr>
          <w:p>
            <w:pPr>
              <w:spacing w:lineRule="auto"/>
            </w:pPr>
            <w:r>
              <w:rPr>
                <w:b/>
              </w:rPr>
              <w:t xml:space="preserve">Deal Conversion Lift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15–20%</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b/>
              </w:rPr>
              <w:t xml:space="preserve">OEM Pilots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w:t>
            </w:r>
          </w:p>
        </w:tc>
        <w:tc>
          <w:tcPr>
            <w:tcBorders>
              <w:top w:val="single" w:sz="1" w:space="0" w:color="000000"/>
              <w:left w:val="single" w:sz="1" w:space="0" w:color="000000"/>
              <w:bottom w:val="single" w:sz="1" w:space="0" w:color="000000"/>
            </w:tcBorders>
          </w:tcPr>
          <w:p>
            <w:pPr>
              <w:spacing w:lineRule="auto"/>
            </w:pPr>
            <w:r>
              <w:rPr/>
              <w:t xml:space="preserve">Qualitative validation</w:t>
            </w:r>
          </w:p>
        </w:tc>
      </w:tr>
    </w:tbl>
    <w:p>
      <w:pPr>
        <w:spacing w:lineRule="auto"/>
      </w:pPr>
    </w:p>
    <w:p>
      <w:pPr>
        <w:spacing w:line="271" w:before="240" w:lineRule="auto"/>
      </w:pPr>
      <w:bookmarkStart w:id="68" w:name="go_to_market_kpis"/>
      <w:r>
        <w:rPr>
          <w:b/>
          <w:sz w:val="33"/>
        </w:rPr>
        <w:t xml:space="preserve">Go-to-Market KPIs</w:t>
      </w:r>
      <w:bookmarkEnd w:id="68"/>
    </w:p>
    <w:p>
      <w:pPr>
        <w:spacing w:after="210" w:lineRule="auto"/>
      </w:pPr>
      <w:r>
        <w:rPr>
          <w:b/>
        </w:rPr>
        <w:t xml:space="preserve">Dealer-Level KPIs:</w:t>
      </w:r>
    </w:p>
    <w:p>
      <w:pPr>
        <w:numPr>
          <w:ilvl w:val="0"/>
          <w:numId w:val="78"/>
        </w:numPr>
        <w:spacing w:lineRule="auto"/>
      </w:pPr>
      <w:r>
        <w:rPr/>
        <w:t xml:space="preserve">Monthly active dealers</w:t>
      </w:r>
    </w:p>
    <w:p>
      <w:pPr>
        <w:numPr>
          <w:ilvl w:val="0"/>
          <w:numId w:val="78"/>
        </w:numPr>
        <w:spacing w:lineRule="auto"/>
      </w:pPr>
      <w:r>
        <w:rPr/>
        <w:t xml:space="preserve">Applications submitted per dealer per month</w:t>
      </w:r>
    </w:p>
    <w:p>
      <w:pPr>
        <w:numPr>
          <w:ilvl w:val="0"/>
          <w:numId w:val="78"/>
        </w:numPr>
        <w:spacing w:lineRule="auto"/>
      </w:pPr>
      <w:r>
        <w:rPr/>
        <w:t xml:space="preserve">Dealer retention/churn</w:t>
      </w:r>
    </w:p>
    <w:p>
      <w:pPr>
        <w:numPr>
          <w:ilvl w:val="0"/>
          <w:numId w:val="78"/>
        </w:numPr>
        <w:spacing w:lineRule="auto"/>
      </w:pPr>
      <w:r>
        <w:rPr/>
        <w:t xml:space="preserve">SaaS ARPU</w:t>
      </w:r>
    </w:p>
    <w:p>
      <w:pPr>
        <w:numPr>
          <w:ilvl w:val="0"/>
          <w:numId w:val="78"/>
        </w:numPr>
        <w:spacing w:lineRule="auto"/>
      </w:pPr>
      <w:r>
        <w:rPr/>
        <w:t xml:space="preserve">NPS and satisfaction</w:t>
      </w:r>
    </w:p>
    <w:p>
      <w:pPr>
        <w:spacing w:after="210" w:lineRule="auto"/>
      </w:pPr>
      <w:r>
        <w:rPr>
          <w:b/>
        </w:rPr>
        <w:t xml:space="preserve">Platform-Level KPIs:</w:t>
      </w:r>
    </w:p>
    <w:p>
      <w:pPr>
        <w:numPr>
          <w:ilvl w:val="0"/>
          <w:numId w:val="79"/>
        </w:numPr>
        <w:spacing w:lineRule="auto"/>
      </w:pPr>
      <w:r>
        <w:rPr/>
        <w:t xml:space="preserve">Monthly funded volume</w:t>
      </w:r>
    </w:p>
    <w:p>
      <w:pPr>
        <w:numPr>
          <w:ilvl w:val="0"/>
          <w:numId w:val="79"/>
        </w:numPr>
        <w:spacing w:lineRule="auto"/>
      </w:pPr>
      <w:r>
        <w:rPr/>
        <w:t xml:space="preserve">Success fee revenue run rate</w:t>
      </w:r>
    </w:p>
    <w:p>
      <w:pPr>
        <w:numPr>
          <w:ilvl w:val="0"/>
          <w:numId w:val="79"/>
        </w:numPr>
        <w:spacing w:lineRule="auto"/>
      </w:pPr>
      <w:r>
        <w:rPr/>
        <w:t xml:space="preserve">Lender integrations (count, quality)</w:t>
      </w:r>
    </w:p>
    <w:p>
      <w:pPr>
        <w:numPr>
          <w:ilvl w:val="0"/>
          <w:numId w:val="79"/>
        </w:numPr>
        <w:spacing w:lineRule="auto"/>
      </w:pPr>
      <w:r>
        <w:rPr/>
        <w:t xml:space="preserve">Application completion rate</w:t>
      </w:r>
    </w:p>
    <w:p>
      <w:pPr>
        <w:numPr>
          <w:ilvl w:val="0"/>
          <w:numId w:val="79"/>
        </w:numPr>
        <w:spacing w:lineRule="auto"/>
      </w:pPr>
      <w:r>
        <w:rPr/>
        <w:t xml:space="preserve">Time-to-approval average and distribution</w:t>
      </w:r>
    </w:p>
    <w:p>
      <w:pPr>
        <w:numPr>
          <w:ilvl w:val="0"/>
          <w:numId w:val="79"/>
        </w:numPr>
        <w:spacing w:lineRule="auto"/>
      </w:pPr>
      <w:r>
        <w:rPr/>
        <w:t xml:space="preserve">Approval conversion rate (funded/submitted)</w:t>
      </w:r>
    </w:p>
    <w:p>
      <w:pPr>
        <w:spacing w:after="210" w:lineRule="auto"/>
      </w:pPr>
      <w:r>
        <w:rPr>
          <w:b/>
        </w:rPr>
        <w:t xml:space="preserve">Financial KPIs:</w:t>
      </w:r>
    </w:p>
    <w:p>
      <w:pPr>
        <w:numPr>
          <w:ilvl w:val="0"/>
          <w:numId w:val="80"/>
        </w:numPr>
        <w:spacing w:lineRule="auto"/>
      </w:pPr>
      <w:r>
        <w:rPr/>
        <w:t xml:space="preserve">CAC and payback period by segment</w:t>
      </w:r>
    </w:p>
    <w:p>
      <w:pPr>
        <w:numPr>
          <w:ilvl w:val="0"/>
          <w:numId w:val="80"/>
        </w:numPr>
        <w:spacing w:lineRule="auto"/>
      </w:pPr>
      <w:r>
        <w:rPr/>
        <w:t xml:space="preserve">LTV (lifetime value) per dealer</w:t>
      </w:r>
    </w:p>
    <w:p>
      <w:pPr>
        <w:numPr>
          <w:ilvl w:val="0"/>
          <w:numId w:val="80"/>
        </w:numPr>
        <w:spacing w:lineRule="auto"/>
      </w:pPr>
      <w:r>
        <w:rPr/>
        <w:t xml:space="preserve">Monthly recurring revenue (MRR)</w:t>
      </w:r>
    </w:p>
    <w:p>
      <w:pPr>
        <w:numPr>
          <w:ilvl w:val="0"/>
          <w:numId w:val="80"/>
        </w:numPr>
        <w:spacing w:lineRule="auto"/>
      </w:pPr>
      <w:r>
        <w:rPr/>
        <w:t xml:space="preserve">Net revenue retention rate (if expansion revenue)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9" w:name="bm_13_regulatory_compliance_strategy"/>
      <w:r>
        <w:rPr>
          <w:b/>
          <w:sz w:val="42"/>
        </w:rPr>
        <w:t xml:space="preserve">13. REGULATORY &amp; COMPLIANCE STRATEGY</w:t>
      </w:r>
      <w:bookmarkEnd w:id="69"/>
    </w:p>
    <w:p>
      <w:pPr>
        <w:spacing w:after="210" w:lineRule="auto"/>
      </w:pPr>
      <w:r>
        <w:rPr/>
        <w:t xml:space="preserve">Our regulatory and compliance strategy ensures the platform operates safely, legally, and efficiently across all U.S. jurisdictions.</w:t>
      </w:r>
    </w:p>
    <w:p>
      <w:pPr>
        <w:spacing w:line="271" w:before="240" w:lineRule="auto"/>
      </w:pPr>
      <w:bookmarkStart w:id="70" w:name="regulatory_posture"/>
      <w:r>
        <w:rPr>
          <w:b/>
          <w:sz w:val="33"/>
        </w:rPr>
        <w:t xml:space="preserve">Regulatory Posture</w:t>
      </w:r>
      <w:bookmarkEnd w:id="70"/>
    </w:p>
    <w:p>
      <w:pPr>
        <w:spacing w:after="210" w:lineRule="auto"/>
      </w:pPr>
      <w:r>
        <w:rPr/>
        <w:t xml:space="preserve">We operate as a </w:t>
      </w:r>
      <w:r>
        <w:rPr>
          <w:b/>
        </w:rPr>
        <w:t xml:space="preserve">neutral, lender-agnostic software platform</w:t>
      </w:r>
      <w:r>
        <w:rPr/>
        <w:t xml:space="preserve">. We:</w:t>
      </w:r>
    </w:p>
    <w:p>
      <w:pPr>
        <w:spacing w:after="210" w:lineRule="auto"/>
      </w:pPr>
      <w:r>
        <w:rPr>
          <w:rFonts w:eastAsia="Georgia" w:cs="Georgia" w:ascii="Georgia" w:hAnsi="Georgia"/>
        </w:rPr>
        <w:t xml:space="preserve">✗ Do NOT make credit decisions</w:t>
      </w:r>
      <w:r>
        <w:rPr/>
        <w:br w:type="textWrapping"/>
      </w:r>
      <w:r>
        <w:rPr>
          <w:rFonts w:eastAsia="Georgia" w:cs="Georgia" w:ascii="Georgia" w:hAnsi="Georgia"/>
        </w:rPr>
        <w:t xml:space="preserve">✗ Do NOT fund loans</w:t>
      </w:r>
      <w:r>
        <w:rPr/>
        <w:br w:type="textWrapping"/>
      </w:r>
      <w:r>
        <w:rPr>
          <w:rFonts w:eastAsia="Georgia" w:cs="Georgia" w:ascii="Georgia" w:hAnsi="Georgia"/>
        </w:rPr>
        <w:t xml:space="preserve">✗ Do NOT provide credit terms or underwriting</w:t>
      </w:r>
      <w:r>
        <w:rPr/>
        <w:br w:type="textWrapping"/>
      </w:r>
      <w:r>
        <w:rPr>
          <w:rFonts w:eastAsia="Georgia" w:cs="Georgia" w:ascii="Georgia" w:hAnsi="Georgia"/>
        </w:rPr>
        <w:t xml:space="preserve">✗ Do NOT service loans or collect payments</w:t>
      </w:r>
    </w:p>
    <w:p>
      <w:pPr>
        <w:spacing w:after="210" w:lineRule="auto"/>
      </w:pPr>
      <w:r>
        <w:rPr>
          <w:b/>
        </w:rPr>
        <w:t xml:space="preserve">Result</w:t>
      </w:r>
      <w:r>
        <w:rPr/>
        <w:t xml:space="preserve">: This keeps us outside lending-license requirements in most states. All credit decisioning remains with licensed lenders.</w:t>
      </w:r>
    </w:p>
    <w:p>
      <w:pPr>
        <w:spacing w:line="271" w:before="240" w:lineRule="auto"/>
      </w:pPr>
      <w:bookmarkStart w:id="71" w:name="core_regulatory_frameworks"/>
      <w:r>
        <w:rPr>
          <w:b/>
          <w:sz w:val="33"/>
        </w:rPr>
        <w:t xml:space="preserve">Core Regulatory Frameworks</w:t>
      </w:r>
      <w:bookmarkEnd w:id="71"/>
    </w:p>
    <w:p>
      <w:pPr>
        <w:spacing w:after="210" w:lineRule="auto"/>
      </w:pPr>
      <w:r>
        <w:rPr>
          <w:b/>
        </w:rPr>
        <w:t xml:space="preserve">a. ECOA / Regulation B</w:t>
      </w:r>
      <w:r>
        <w:rPr/>
        <w:t xml:space="preserve"> (Equal Credit Opportunity Act)</w:t>
      </w:r>
    </w:p>
    <w:p>
      <w:pPr>
        <w:spacing w:after="210" w:lineRule="auto"/>
      </w:pPr>
      <w:r>
        <w:rPr/>
        <w:t xml:space="preserve">We automate and track required disclosures, timestamps, and adverse-action notices.</w:t>
      </w:r>
    </w:p>
    <w:p>
      <w:pPr>
        <w:spacing w:after="210" w:lineRule="auto"/>
      </w:pPr>
      <w:r>
        <w:rPr>
          <w:b/>
        </w:rPr>
        <w:t xml:space="preserve">Controls:</w:t>
      </w:r>
    </w:p>
    <w:p>
      <w:pPr>
        <w:numPr>
          <w:ilvl w:val="0"/>
          <w:numId w:val="81"/>
        </w:numPr>
        <w:spacing w:lineRule="auto"/>
      </w:pPr>
      <w:r>
        <w:rPr/>
        <w:t xml:space="preserve">Automated status logs for all application milestones</w:t>
      </w:r>
    </w:p>
    <w:p>
      <w:pPr>
        <w:numPr>
          <w:ilvl w:val="0"/>
          <w:numId w:val="81"/>
        </w:numPr>
        <w:spacing w:lineRule="auto"/>
      </w:pPr>
      <w:r>
        <w:rPr/>
        <w:t xml:space="preserve">Timestamped submission and decision records</w:t>
      </w:r>
    </w:p>
    <w:p>
      <w:pPr>
        <w:numPr>
          <w:ilvl w:val="0"/>
          <w:numId w:val="81"/>
        </w:numPr>
        <w:spacing w:lineRule="auto"/>
      </w:pPr>
      <w:r>
        <w:rPr/>
        <w:t xml:space="preserve">Documented adverse-action communication</w:t>
      </w:r>
    </w:p>
    <w:p>
      <w:pPr>
        <w:numPr>
          <w:ilvl w:val="0"/>
          <w:numId w:val="81"/>
        </w:numPr>
        <w:spacing w:lineRule="auto"/>
      </w:pPr>
      <w:r>
        <w:rPr/>
        <w:t xml:space="preserve">Audit-ready workflows for dealer and lender review</w:t>
      </w:r>
    </w:p>
    <w:p>
      <w:pPr>
        <w:spacing w:after="210" w:lineRule="auto"/>
      </w:pPr>
      <w:r>
        <w:rPr>
          <w:b/>
        </w:rPr>
        <w:t xml:space="preserve">b. FCRA</w:t>
      </w:r>
      <w:r>
        <w:rPr/>
        <w:t xml:space="preserve"> (Fair Credit Reporting Act)</w:t>
      </w:r>
    </w:p>
    <w:p>
      <w:pPr>
        <w:spacing w:after="210" w:lineRule="auto"/>
      </w:pPr>
      <w:r>
        <w:rPr/>
        <w:t xml:space="preserve">Applies when borrower credit information is transmitted.</w:t>
      </w:r>
    </w:p>
    <w:p>
      <w:pPr>
        <w:spacing w:after="210" w:lineRule="auto"/>
      </w:pPr>
      <w:r>
        <w:rPr>
          <w:b/>
        </w:rPr>
        <w:t xml:space="preserve">Controls:</w:t>
      </w:r>
    </w:p>
    <w:p>
      <w:pPr>
        <w:numPr>
          <w:ilvl w:val="0"/>
          <w:numId w:val="82"/>
        </w:numPr>
        <w:spacing w:lineRule="auto"/>
      </w:pPr>
      <w:r>
        <w:rPr/>
        <w:t xml:space="preserve">User identity verification (multi-factor authentication)</w:t>
      </w:r>
    </w:p>
    <w:p>
      <w:pPr>
        <w:numPr>
          <w:ilvl w:val="0"/>
          <w:numId w:val="82"/>
        </w:numPr>
        <w:spacing w:lineRule="auto"/>
      </w:pPr>
      <w:r>
        <w:rPr/>
        <w:t xml:space="preserve">Permissible purpose verification (credit inquiry can only be made with borrower consent)</w:t>
      </w:r>
    </w:p>
    <w:p>
      <w:pPr>
        <w:numPr>
          <w:ilvl w:val="0"/>
          <w:numId w:val="82"/>
        </w:numPr>
        <w:spacing w:lineRule="auto"/>
      </w:pPr>
      <w:r>
        <w:rPr/>
        <w:t xml:space="preserve">Secure handling of credit data (encryption in transit and at rest)</w:t>
      </w:r>
    </w:p>
    <w:p>
      <w:pPr>
        <w:numPr>
          <w:ilvl w:val="0"/>
          <w:numId w:val="82"/>
        </w:numPr>
        <w:spacing w:lineRule="auto"/>
      </w:pPr>
      <w:r>
        <w:rPr/>
        <w:t xml:space="preserve">Compliance with dispute and correction procedures</w:t>
      </w:r>
    </w:p>
    <w:p>
      <w:pPr>
        <w:spacing w:after="210" w:lineRule="auto"/>
      </w:pPr>
      <w:r>
        <w:rPr>
          <w:b/>
        </w:rPr>
        <w:t xml:space="preserve">c. GLBA</w:t>
      </w:r>
      <w:r>
        <w:rPr/>
        <w:t xml:space="preserve"> (Gramm-Leach-Bliley Act)</w:t>
      </w:r>
    </w:p>
    <w:p>
      <w:pPr>
        <w:spacing w:after="210" w:lineRule="auto"/>
      </w:pPr>
      <w:r>
        <w:rPr/>
        <w:t xml:space="preserve">We meet GLBA data security standards through:</w:t>
      </w:r>
    </w:p>
    <w:p>
      <w:pPr>
        <w:numPr>
          <w:ilvl w:val="0"/>
          <w:numId w:val="83"/>
        </w:numPr>
        <w:spacing w:lineRule="auto"/>
      </w:pPr>
      <w:r>
        <w:rPr/>
        <w:t xml:space="preserve">Encryption in transit (TLS 1.2+) and at rest (AES-256)</w:t>
      </w:r>
    </w:p>
    <w:p>
      <w:pPr>
        <w:numPr>
          <w:ilvl w:val="0"/>
          <w:numId w:val="83"/>
        </w:numPr>
        <w:spacing w:lineRule="auto"/>
      </w:pPr>
      <w:r>
        <w:rPr/>
        <w:t xml:space="preserve">Access-control frameworks (role-based access control, least privilege)</w:t>
      </w:r>
    </w:p>
    <w:p>
      <w:pPr>
        <w:numPr>
          <w:ilvl w:val="0"/>
          <w:numId w:val="83"/>
        </w:numPr>
        <w:spacing w:lineRule="auto"/>
      </w:pPr>
      <w:r>
        <w:rPr/>
        <w:t xml:space="preserve">Audit logging (all access and data modifications logged)</w:t>
      </w:r>
    </w:p>
    <w:p>
      <w:pPr>
        <w:numPr>
          <w:ilvl w:val="0"/>
          <w:numId w:val="83"/>
        </w:numPr>
        <w:spacing w:lineRule="auto"/>
      </w:pPr>
      <w:r>
        <w:rPr/>
        <w:t xml:space="preserve">Vendor security assessments (third-party risk reviews)</w:t>
      </w:r>
    </w:p>
    <w:p>
      <w:pPr>
        <w:numPr>
          <w:ilvl w:val="0"/>
          <w:numId w:val="83"/>
        </w:numPr>
        <w:spacing w:lineRule="auto"/>
      </w:pPr>
      <w:r>
        <w:rPr/>
        <w:t xml:space="preserve">Incident response and notification procedures</w:t>
      </w:r>
    </w:p>
    <w:p>
      <w:pPr>
        <w:spacing w:after="210" w:lineRule="auto"/>
      </w:pPr>
      <w:r>
        <w:rPr>
          <w:b/>
        </w:rPr>
        <w:t xml:space="preserve">d. UETA &amp; ESIGN</w:t>
      </w:r>
      <w:r>
        <w:rPr/>
        <w:t xml:space="preserve"> (Digital Signatures)</w:t>
      </w:r>
    </w:p>
    <w:p>
      <w:pPr>
        <w:spacing w:after="210" w:lineRule="auto"/>
      </w:pPr>
      <w:r>
        <w:rPr/>
        <w:t xml:space="preserve">We support compliant electronic signatures and maintain secure audit trails.</w:t>
      </w:r>
    </w:p>
    <w:p>
      <w:pPr>
        <w:spacing w:after="210" w:lineRule="auto"/>
      </w:pPr>
      <w:r>
        <w:rPr>
          <w:b/>
        </w:rPr>
        <w:t xml:space="preserve">e. State-Level Licensing Requirements</w:t>
      </w:r>
    </w:p>
    <w:p>
      <w:pPr>
        <w:spacing w:after="210" w:lineRule="auto"/>
      </w:pPr>
      <w:r>
        <w:rPr/>
        <w:t xml:space="preserve">Most states exempt software intermediaries that:</w:t>
      </w:r>
    </w:p>
    <w:p>
      <w:pPr>
        <w:numPr>
          <w:ilvl w:val="0"/>
          <w:numId w:val="84"/>
        </w:numPr>
        <w:spacing w:lineRule="auto"/>
      </w:pPr>
      <w:r>
        <w:rPr>
          <w:rFonts w:eastAsia="Georgia" w:cs="Georgia" w:ascii="Georgia" w:hAnsi="Georgia"/>
        </w:rPr>
        <w:t xml:space="preserve">Do not negotiate credit terms ✓</w:t>
      </w:r>
    </w:p>
    <w:p>
      <w:pPr>
        <w:numPr>
          <w:ilvl w:val="0"/>
          <w:numId w:val="84"/>
        </w:numPr>
        <w:spacing w:lineRule="auto"/>
      </w:pPr>
      <w:r>
        <w:rPr>
          <w:rFonts w:eastAsia="Georgia" w:cs="Georgia" w:ascii="Georgia" w:hAnsi="Georgia"/>
        </w:rPr>
        <w:t xml:space="preserve">Do not issue approvals ✓</w:t>
      </w:r>
    </w:p>
    <w:p>
      <w:pPr>
        <w:numPr>
          <w:ilvl w:val="0"/>
          <w:numId w:val="84"/>
        </w:numPr>
        <w:spacing w:lineRule="auto"/>
      </w:pPr>
      <w:r>
        <w:rPr>
          <w:rFonts w:eastAsia="Georgia" w:cs="Georgia" w:ascii="Georgia" w:hAnsi="Georgia"/>
        </w:rPr>
        <w:t xml:space="preserve">Do not hold borrower funds ✓</w:t>
      </w:r>
    </w:p>
    <w:p>
      <w:pPr>
        <w:spacing w:after="210" w:lineRule="auto"/>
      </w:pPr>
      <w:r>
        <w:rPr/>
        <w:t xml:space="preserve">We partner with compliance counsel in key states (IA, IL, NE, MN, KS) to ensure adherence to:</w:t>
      </w:r>
    </w:p>
    <w:p>
      <w:pPr>
        <w:numPr>
          <w:ilvl w:val="0"/>
          <w:numId w:val="85"/>
        </w:numPr>
        <w:spacing w:lineRule="auto"/>
      </w:pPr>
      <w:r>
        <w:rPr/>
        <w:t xml:space="preserve">State lending facilitator rules (if any)</w:t>
      </w:r>
    </w:p>
    <w:p>
      <w:pPr>
        <w:numPr>
          <w:ilvl w:val="0"/>
          <w:numId w:val="85"/>
        </w:numPr>
        <w:spacing w:lineRule="auto"/>
      </w:pPr>
      <w:r>
        <w:rPr/>
        <w:t xml:space="preserve">Data-privacy requirements (CCPA if operating in CA, etc.)</w:t>
      </w:r>
    </w:p>
    <w:p>
      <w:pPr>
        <w:spacing w:line="271" w:before="240" w:lineRule="auto"/>
      </w:pPr>
      <w:bookmarkStart w:id="72" w:name="data_security_privacy"/>
      <w:r>
        <w:rPr>
          <w:b/>
          <w:sz w:val="33"/>
        </w:rPr>
        <w:t xml:space="preserve">Data Security &amp; Privacy</w:t>
      </w:r>
      <w:bookmarkEnd w:id="72"/>
    </w:p>
    <w:p>
      <w:pPr>
        <w:spacing w:after="210" w:lineRule="auto"/>
      </w:pPr>
      <w:r>
        <w:rPr/>
        <w:t xml:space="preserve">Security is central to lender and dealer trust.</w:t>
      </w:r>
    </w:p>
    <w:p>
      <w:pPr>
        <w:spacing w:after="210" w:lineRule="auto"/>
      </w:pPr>
      <w:r>
        <w:rPr>
          <w:b/>
        </w:rPr>
        <w:t xml:space="preserve">Controls:</w:t>
      </w:r>
    </w:p>
    <w:p>
      <w:pPr>
        <w:numPr>
          <w:ilvl w:val="0"/>
          <w:numId w:val="86"/>
        </w:numPr>
        <w:spacing w:lineRule="auto"/>
      </w:pPr>
      <w:r>
        <w:rPr>
          <w:rFonts w:eastAsia="Georgia" w:cs="Georgia" w:ascii="Georgia" w:hAnsi="Georgia"/>
        </w:rPr>
        <w:t xml:space="preserve">SOC 2 Type II certification (target Year 1–2)</w:t>
      </w:r>
    </w:p>
    <w:p>
      <w:pPr>
        <w:numPr>
          <w:ilvl w:val="0"/>
          <w:numId w:val="86"/>
        </w:numPr>
        <w:spacing w:lineRule="auto"/>
      </w:pPr>
      <w:r>
        <w:rPr/>
        <w:t xml:space="preserve">Encryption for all sensitive data (in transit and at rest)</w:t>
      </w:r>
    </w:p>
    <w:p>
      <w:pPr>
        <w:numPr>
          <w:ilvl w:val="0"/>
          <w:numId w:val="86"/>
        </w:numPr>
        <w:spacing w:lineRule="auto"/>
      </w:pPr>
      <w:r>
        <w:rPr/>
        <w:t xml:space="preserve">Multi-factor authentication for all user access</w:t>
      </w:r>
    </w:p>
    <w:p>
      <w:pPr>
        <w:numPr>
          <w:ilvl w:val="0"/>
          <w:numId w:val="86"/>
        </w:numPr>
        <w:spacing w:lineRule="auto"/>
      </w:pPr>
      <w:r>
        <w:rPr/>
        <w:t xml:space="preserve">Role-based access controls (principle of least privilege)</w:t>
      </w:r>
    </w:p>
    <w:p>
      <w:pPr>
        <w:numPr>
          <w:ilvl w:val="0"/>
          <w:numId w:val="86"/>
        </w:numPr>
        <w:spacing w:lineRule="auto"/>
      </w:pPr>
      <w:r>
        <w:rPr/>
        <w:t xml:space="preserve">Continuous monitoring and intrusion detection</w:t>
      </w:r>
    </w:p>
    <w:p>
      <w:pPr>
        <w:numPr>
          <w:ilvl w:val="0"/>
          <w:numId w:val="86"/>
        </w:numPr>
        <w:spacing w:lineRule="auto"/>
      </w:pPr>
      <w:r>
        <w:rPr/>
        <w:t xml:space="preserve">Secure third-party vendor vetting</w:t>
      </w:r>
    </w:p>
    <w:p>
      <w:pPr>
        <w:numPr>
          <w:ilvl w:val="0"/>
          <w:numId w:val="86"/>
        </w:numPr>
        <w:spacing w:lineRule="auto"/>
      </w:pPr>
      <w:r>
        <w:rPr/>
        <w:t xml:space="preserve">Annual third-party security audits</w:t>
      </w:r>
    </w:p>
    <w:p>
      <w:pPr>
        <w:numPr>
          <w:ilvl w:val="0"/>
          <w:numId w:val="86"/>
        </w:numPr>
        <w:spacing w:lineRule="auto"/>
      </w:pPr>
      <w:r>
        <w:rPr/>
        <w:t xml:space="preserve">Data retention and destruction policies</w:t>
      </w:r>
    </w:p>
    <w:p>
      <w:pPr>
        <w:spacing w:after="210" w:lineRule="auto"/>
      </w:pPr>
      <w:r>
        <w:rPr>
          <w:b/>
        </w:rPr>
        <w:t xml:space="preserve">Sensitive Data Handling:</w:t>
      </w:r>
    </w:p>
    <w:p>
      <w:pPr>
        <w:numPr>
          <w:ilvl w:val="0"/>
          <w:numId w:val="87"/>
        </w:numPr>
        <w:spacing w:lineRule="auto"/>
      </w:pPr>
      <w:r>
        <w:rPr/>
        <w:t xml:space="preserve">PII (names, SSNs, tax IDs): Encrypted; access logged; minimal retention</w:t>
      </w:r>
    </w:p>
    <w:p>
      <w:pPr>
        <w:numPr>
          <w:ilvl w:val="0"/>
          <w:numId w:val="87"/>
        </w:numPr>
        <w:spacing w:lineRule="auto"/>
      </w:pPr>
      <w:r>
        <w:rPr/>
        <w:t xml:space="preserve">Financial data (bank statements, tax returns): Encrypted; compliance-labeled</w:t>
      </w:r>
    </w:p>
    <w:p>
      <w:pPr>
        <w:numPr>
          <w:ilvl w:val="0"/>
          <w:numId w:val="87"/>
        </w:numPr>
        <w:spacing w:lineRule="auto"/>
      </w:pPr>
      <w:r>
        <w:rPr/>
        <w:t xml:space="preserve">Credit-bureau data: Handled per FCRA requirements</w:t>
      </w:r>
    </w:p>
    <w:p>
      <w:pPr>
        <w:spacing w:line="271" w:before="240" w:lineRule="auto"/>
      </w:pPr>
      <w:bookmarkStart w:id="73" w:name="fraud_prevention"/>
      <w:r>
        <w:rPr>
          <w:b/>
          <w:sz w:val="33"/>
        </w:rPr>
        <w:t xml:space="preserve">Fraud Prevention</w:t>
      </w:r>
      <w:bookmarkEnd w:id="73"/>
    </w:p>
    <w:p>
      <w:pPr>
        <w:spacing w:after="210" w:lineRule="auto"/>
      </w:pPr>
      <w:r>
        <w:rPr/>
        <w:t xml:space="preserve">Our fraud controls protect both lenders and dealers:</w:t>
      </w:r>
    </w:p>
    <w:p>
      <w:pPr>
        <w:numPr>
          <w:ilvl w:val="0"/>
          <w:numId w:val="88"/>
        </w:numPr>
        <w:spacing w:lineRule="auto"/>
      </w:pPr>
      <w:r>
        <w:rPr/>
        <w:t xml:space="preserve">Identity verification (Socure, Jumio integrations)</w:t>
      </w:r>
    </w:p>
    <w:p>
      <w:pPr>
        <w:numPr>
          <w:ilvl w:val="0"/>
          <w:numId w:val="88"/>
        </w:numPr>
        <w:spacing w:lineRule="auto"/>
      </w:pPr>
      <w:r>
        <w:rPr/>
        <w:t xml:space="preserve">Document authenticity scanning (fraud detection AI)</w:t>
      </w:r>
    </w:p>
    <w:p>
      <w:pPr>
        <w:numPr>
          <w:ilvl w:val="0"/>
          <w:numId w:val="88"/>
        </w:numPr>
        <w:spacing w:lineRule="auto"/>
      </w:pPr>
      <w:r>
        <w:rPr/>
        <w:t xml:space="preserve">Behavioral fraud signals (unusual activity patterns)</w:t>
      </w:r>
    </w:p>
    <w:p>
      <w:pPr>
        <w:numPr>
          <w:ilvl w:val="0"/>
          <w:numId w:val="88"/>
        </w:numPr>
        <w:spacing w:lineRule="auto"/>
      </w:pPr>
      <w:r>
        <w:rPr/>
        <w:t xml:space="preserve">Geo-location checks (verify borrower location)</w:t>
      </w:r>
    </w:p>
    <w:p>
      <w:pPr>
        <w:numPr>
          <w:ilvl w:val="0"/>
          <w:numId w:val="88"/>
        </w:numPr>
        <w:spacing w:lineRule="auto"/>
      </w:pPr>
      <w:r>
        <w:rPr/>
        <w:t xml:space="preserve">Cross-application duplicate detection (prevent multi-submission fraud)</w:t>
      </w:r>
    </w:p>
    <w:p>
      <w:pPr>
        <w:spacing w:line="271" w:before="240" w:lineRule="auto"/>
      </w:pPr>
      <w:bookmarkStart w:id="74" w:name="lender_audit_compliance_support"/>
      <w:r>
        <w:rPr>
          <w:b/>
          <w:sz w:val="33"/>
        </w:rPr>
        <w:t xml:space="preserve">Lender Audit &amp; Compliance Support</w:t>
      </w:r>
      <w:bookmarkEnd w:id="74"/>
    </w:p>
    <w:p>
      <w:pPr>
        <w:spacing w:after="210" w:lineRule="auto"/>
      </w:pPr>
      <w:r>
        <w:rPr/>
        <w:t xml:space="preserve">We provide lenders with:</w:t>
      </w:r>
    </w:p>
    <w:p>
      <w:pPr>
        <w:numPr>
          <w:ilvl w:val="0"/>
          <w:numId w:val="89"/>
        </w:numPr>
        <w:spacing w:lineRule="auto"/>
      </w:pPr>
      <w:r>
        <w:rPr/>
        <w:t xml:space="preserve">Fully timestamped digital audit trails (every action logged)</w:t>
      </w:r>
    </w:p>
    <w:p>
      <w:pPr>
        <w:numPr>
          <w:ilvl w:val="0"/>
          <w:numId w:val="89"/>
        </w:numPr>
        <w:spacing w:lineRule="auto"/>
      </w:pPr>
      <w:r>
        <w:rPr/>
        <w:t xml:space="preserve">Standardized document packages (consistent with regulatory expectations)</w:t>
      </w:r>
    </w:p>
    <w:p>
      <w:pPr>
        <w:numPr>
          <w:ilvl w:val="0"/>
          <w:numId w:val="89"/>
        </w:numPr>
        <w:spacing w:lineRule="auto"/>
      </w:pPr>
      <w:r>
        <w:rPr/>
        <w:t xml:space="preserve">Borrower communication logs (proves disclosure provided)</w:t>
      </w:r>
    </w:p>
    <w:p>
      <w:pPr>
        <w:numPr>
          <w:ilvl w:val="0"/>
          <w:numId w:val="89"/>
        </w:numPr>
        <w:spacing w:lineRule="auto"/>
      </w:pPr>
      <w:r>
        <w:rPr/>
        <w:t xml:space="preserve">Dealer activity records (audit trail for lender oversight)</w:t>
      </w:r>
    </w:p>
    <w:p>
      <w:pPr>
        <w:spacing w:after="210" w:lineRule="auto"/>
      </w:pPr>
      <w:r>
        <w:rPr/>
        <w:t xml:space="preserve">These tools reduce lender risk and increase willingness to integrate with the platform.</w:t>
      </w:r>
    </w:p>
    <w:p>
      <w:pPr>
        <w:spacing w:line="271" w:before="240" w:lineRule="auto"/>
      </w:pPr>
      <w:bookmarkStart w:id="75" w:name="compliance_roadmap_12_36_months"/>
      <w:r>
        <w:rPr>
          <w:rFonts w:eastAsia="Georgia" w:cs="Georgia" w:ascii="Georgia" w:hAnsi="Georgia"/>
          <w:b/>
          <w:sz w:val="33"/>
        </w:rPr>
        <w:t xml:space="preserve">Compliance Roadmap (12–36 Months)</w:t>
      </w:r>
      <w:bookmarkEnd w:id="75"/>
    </w:p>
    <w:p>
      <w:pPr>
        <w:spacing w:after="210" w:lineRule="auto"/>
      </w:pPr>
      <w:r>
        <w:rPr>
          <w:b/>
        </w:rPr>
        <w:t xml:space="preserve">Phase 1 (Launch):</w:t>
      </w:r>
    </w:p>
    <w:p>
      <w:pPr>
        <w:numPr>
          <w:ilvl w:val="0"/>
          <w:numId w:val="90"/>
        </w:numPr>
        <w:spacing w:lineRule="auto"/>
      </w:pPr>
      <w:r>
        <w:rPr/>
        <w:t xml:space="preserve">SOC 2 readiness (Type I)</w:t>
      </w:r>
    </w:p>
    <w:p>
      <w:pPr>
        <w:numPr>
          <w:ilvl w:val="0"/>
          <w:numId w:val="90"/>
        </w:numPr>
        <w:spacing w:lineRule="auto"/>
      </w:pPr>
      <w:r>
        <w:rPr/>
        <w:t xml:space="preserve">GLBA controls (encryption, access, audit logging)</w:t>
      </w:r>
    </w:p>
    <w:p>
      <w:pPr>
        <w:numPr>
          <w:ilvl w:val="0"/>
          <w:numId w:val="90"/>
        </w:numPr>
        <w:spacing w:lineRule="auto"/>
      </w:pPr>
      <w:r>
        <w:rPr/>
        <w:t xml:space="preserve">Audit logging infrastructure</w:t>
      </w:r>
    </w:p>
    <w:p>
      <w:pPr>
        <w:numPr>
          <w:ilvl w:val="0"/>
          <w:numId w:val="90"/>
        </w:numPr>
        <w:spacing w:lineRule="auto"/>
      </w:pPr>
      <w:r>
        <w:rPr/>
        <w:t xml:space="preserve">ECOA/Reg B workflow automation</w:t>
      </w:r>
    </w:p>
    <w:p>
      <w:pPr>
        <w:numPr>
          <w:ilvl w:val="0"/>
          <w:numId w:val="90"/>
        </w:numPr>
        <w:spacing w:lineRule="auto"/>
      </w:pPr>
      <w:r>
        <w:rPr/>
        <w:t xml:space="preserve">State licensing assessment (IA, IL, NE, MN, KS)</w:t>
      </w:r>
    </w:p>
    <w:p>
      <w:pPr>
        <w:spacing w:after="210" w:lineRule="auto"/>
      </w:pPr>
      <w:r>
        <w:rPr>
          <w:b/>
        </w:rPr>
        <w:t xml:space="preserve">Phase 2 (Months 12–24):</w:t>
      </w:r>
    </w:p>
    <w:p>
      <w:pPr>
        <w:numPr>
          <w:ilvl w:val="0"/>
          <w:numId w:val="91"/>
        </w:numPr>
        <w:spacing w:lineRule="auto"/>
      </w:pPr>
      <w:r>
        <w:rPr/>
        <w:t xml:space="preserve">SOC 2 Type II certification</w:t>
      </w:r>
    </w:p>
    <w:p>
      <w:pPr>
        <w:numPr>
          <w:ilvl w:val="0"/>
          <w:numId w:val="91"/>
        </w:numPr>
        <w:spacing w:lineRule="auto"/>
      </w:pPr>
      <w:r>
        <w:rPr/>
        <w:t xml:space="preserve">Advanced fraud-detection models</w:t>
      </w:r>
    </w:p>
    <w:p>
      <w:pPr>
        <w:numPr>
          <w:ilvl w:val="0"/>
          <w:numId w:val="91"/>
        </w:numPr>
        <w:spacing w:lineRule="auto"/>
      </w:pPr>
      <w:r>
        <w:rPr/>
        <w:t xml:space="preserve">Enhanced vendor-risk program</w:t>
      </w:r>
    </w:p>
    <w:p>
      <w:pPr>
        <w:numPr>
          <w:ilvl w:val="0"/>
          <w:numId w:val="91"/>
        </w:numPr>
        <w:spacing w:lineRule="auto"/>
      </w:pPr>
      <w:r>
        <w:rPr/>
        <w:t xml:space="preserve">Regional expansion (additional state assessment)</w:t>
      </w:r>
    </w:p>
    <w:p>
      <w:pPr>
        <w:spacing w:after="210" w:lineRule="auto"/>
      </w:pPr>
      <w:r>
        <w:rPr>
          <w:b/>
        </w:rPr>
        <w:t xml:space="preserve">Phase 3 (Months 24–36):</w:t>
      </w:r>
    </w:p>
    <w:p>
      <w:pPr>
        <w:numPr>
          <w:ilvl w:val="0"/>
          <w:numId w:val="92"/>
        </w:numPr>
        <w:spacing w:lineRule="auto"/>
      </w:pPr>
      <w:r>
        <w:rPr/>
        <w:t xml:space="preserve">Multi-jurisdictional compliance toolkit (for adjacent verticals)</w:t>
      </w:r>
    </w:p>
    <w:p>
      <w:pPr>
        <w:numPr>
          <w:ilvl w:val="0"/>
          <w:numId w:val="92"/>
        </w:numPr>
        <w:spacing w:lineRule="auto"/>
      </w:pPr>
      <w:r>
        <w:rPr/>
        <w:t xml:space="preserve">Optional licensing assessment (if expanding to consumer lending)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6" w:name="bm_14_risk_analysis_mitigation"/>
      <w:r>
        <w:rPr>
          <w:b/>
          <w:sz w:val="42"/>
        </w:rPr>
        <w:t xml:space="preserve">14. RISK ANALYSIS &amp; MITIGATION</w:t>
      </w:r>
      <w:bookmarkEnd w:id="76"/>
    </w:p>
    <w:p>
      <w:pPr>
        <w:spacing w:line="271" w:before="240" w:lineRule="auto"/>
      </w:pPr>
      <w:bookmarkStart w:id="77" w:name="bm_1_market_adoption_risks"/>
      <w:r>
        <w:rPr>
          <w:b/>
          <w:sz w:val="33"/>
        </w:rPr>
        <w:t xml:space="preserve">1. Market &amp; Adoption Risks</w:t>
      </w:r>
      <w:bookmarkEnd w:id="77"/>
    </w:p>
    <w:p>
      <w:pPr>
        <w:spacing w:after="210" w:lineRule="auto"/>
      </w:pPr>
      <w:r>
        <w:rPr>
          <w:b/>
        </w:rPr>
        <w:t xml:space="preserve">a. Dealer Adoption Lag</w:t>
      </w:r>
    </w:p>
    <w:p>
      <w:pPr>
        <w:spacing w:after="210" w:lineRule="auto"/>
      </w:pPr>
      <w:r>
        <w:rPr>
          <w:i/>
        </w:rPr>
        <w:t xml:space="preserve">Risk</w:t>
      </w:r>
      <w:r>
        <w:rPr/>
        <w:t xml:space="preserve">: Dealers resist adopting new technology due to habit or perceived workflow disruption.</w:t>
      </w:r>
    </w:p>
    <w:p>
      <w:pPr>
        <w:spacing w:after="210" w:lineRule="auto"/>
      </w:pPr>
      <w:r>
        <w:rPr>
          <w:i/>
        </w:rPr>
        <w:t xml:space="preserve">Mitigation</w:t>
      </w:r>
      <w:r>
        <w:rPr/>
        <w:t xml:space="preserve">:</w:t>
      </w:r>
    </w:p>
    <w:p>
      <w:pPr>
        <w:numPr>
          <w:ilvl w:val="0"/>
          <w:numId w:val="93"/>
        </w:numPr>
        <w:spacing w:lineRule="auto"/>
      </w:pPr>
      <w:r>
        <w:rPr/>
        <w:t xml:space="preserve">Dealer-first design with minimal workflow change (single portal replaces multiple)</w:t>
      </w:r>
    </w:p>
    <w:p>
      <w:pPr>
        <w:numPr>
          <w:ilvl w:val="0"/>
          <w:numId w:val="93"/>
        </w:numPr>
        <w:spacing w:lineRule="auto"/>
      </w:pPr>
      <w:r>
        <w:rPr/>
        <w:t xml:space="preserve">Hands-on onboarding and training (success managers)</w:t>
      </w:r>
    </w:p>
    <w:p>
      <w:pPr>
        <w:numPr>
          <w:ilvl w:val="0"/>
          <w:numId w:val="93"/>
        </w:numPr>
        <w:spacing w:lineRule="auto"/>
      </w:pPr>
      <w:r>
        <w:rPr/>
        <w:t xml:space="preserve">Demonstrated improvements in approval speed and deal conversion (ROI case studies)</w:t>
      </w:r>
    </w:p>
    <w:p>
      <w:pPr>
        <w:numPr>
          <w:ilvl w:val="0"/>
          <w:numId w:val="93"/>
        </w:numPr>
        <w:spacing w:lineRule="auto"/>
      </w:pPr>
      <w:r>
        <w:rPr/>
        <w:t xml:space="preserve">Design partner programs to build peer proof points</w:t>
      </w:r>
    </w:p>
    <w:p>
      <w:pPr>
        <w:numPr>
          <w:ilvl w:val="0"/>
          <w:numId w:val="93"/>
        </w:numPr>
        <w:spacing w:lineRule="auto"/>
      </w:pPr>
      <w:r>
        <w:rPr/>
        <w:t xml:space="preserve">Easy off-ramps (no long-term contracts; month-to-month after pilot)</w:t>
      </w:r>
    </w:p>
    <w:p>
      <w:pPr>
        <w:spacing w:after="210" w:lineRule="auto"/>
      </w:pPr>
      <w:r>
        <w:rPr>
          <w:b/>
        </w:rPr>
        <w:t xml:space="preserve">b. Lender Integration Bottlenecks</w:t>
      </w:r>
    </w:p>
    <w:p>
      <w:pPr>
        <w:spacing w:after="210" w:lineRule="auto"/>
      </w:pPr>
      <w:r>
        <w:rPr>
          <w:i/>
        </w:rPr>
        <w:t xml:space="preserve">Risk</w:t>
      </w:r>
      <w:r>
        <w:rPr/>
        <w:t xml:space="preserve">: Lenders vary in technical maturity; some rely entirely on manual processes.</w:t>
      </w:r>
    </w:p>
    <w:p>
      <w:pPr>
        <w:spacing w:after="210" w:lineRule="auto"/>
      </w:pPr>
      <w:r>
        <w:rPr>
          <w:i/>
        </w:rPr>
        <w:t xml:space="preserve">Mitigation</w:t>
      </w:r>
      <w:r>
        <w:rPr/>
        <w:t xml:space="preserve">:</w:t>
      </w:r>
    </w:p>
    <w:p>
      <w:pPr>
        <w:numPr>
          <w:ilvl w:val="0"/>
          <w:numId w:val="94"/>
        </w:numPr>
        <w:spacing w:lineRule="auto"/>
      </w:pPr>
      <w:r>
        <w:rPr/>
        <w:t xml:space="preserve">Tiered integration: API (full), Portal Automation (light), Manual Upload (fallback)</w:t>
      </w:r>
    </w:p>
    <w:p>
      <w:pPr>
        <w:numPr>
          <w:ilvl w:val="0"/>
          <w:numId w:val="94"/>
        </w:numPr>
        <w:spacing w:lineRule="auto"/>
      </w:pPr>
      <w:r>
        <w:rPr/>
        <w:t xml:space="preserve">Focus first on lenders with strong digital capabilities</w:t>
      </w:r>
    </w:p>
    <w:p>
      <w:pPr>
        <w:numPr>
          <w:ilvl w:val="0"/>
          <w:numId w:val="94"/>
        </w:numPr>
        <w:spacing w:lineRule="auto"/>
      </w:pPr>
      <w:r>
        <w:rPr/>
        <w:t xml:space="preserve">Build reusable integration modules (reduce per-lender time)</w:t>
      </w:r>
    </w:p>
    <w:p>
      <w:pPr>
        <w:numPr>
          <w:ilvl w:val="0"/>
          <w:numId w:val="94"/>
        </w:numPr>
        <w:spacing w:lineRule="auto"/>
      </w:pPr>
      <w:r>
        <w:rPr/>
        <w:t xml:space="preserve">Integration partnership model (shared cost, shared benefit)</w:t>
      </w:r>
    </w:p>
    <w:p>
      <w:pPr>
        <w:spacing w:after="210" w:lineRule="auto"/>
      </w:pPr>
      <w:r>
        <w:rPr>
          <w:b/>
        </w:rPr>
        <w:t xml:space="preserve">c. Competitive Response from Incumbents</w:t>
      </w:r>
    </w:p>
    <w:p>
      <w:pPr>
        <w:spacing w:after="210" w:lineRule="auto"/>
      </w:pPr>
      <w:r>
        <w:rPr>
          <w:i/>
        </w:rPr>
        <w:t xml:space="preserve">Risk</w:t>
      </w:r>
      <w:r>
        <w:rPr/>
        <w:t xml:space="preserve">: Captives or major banks build similar platforms in response.</w:t>
      </w:r>
    </w:p>
    <w:p>
      <w:pPr>
        <w:spacing w:after="210" w:lineRule="auto"/>
      </w:pPr>
      <w:r>
        <w:rPr>
          <w:i/>
        </w:rPr>
        <w:t xml:space="preserve">Mitigation</w:t>
      </w:r>
      <w:r>
        <w:rPr/>
        <w:t xml:space="preserve">:</w:t>
      </w:r>
    </w:p>
    <w:p>
      <w:pPr>
        <w:numPr>
          <w:ilvl w:val="0"/>
          <w:numId w:val="95"/>
        </w:numPr>
        <w:spacing w:lineRule="auto"/>
      </w:pPr>
      <w:r>
        <w:rPr/>
        <w:t xml:space="preserve">Neutrality is defensible (captives can't achieve it)</w:t>
      </w:r>
    </w:p>
    <w:p>
      <w:pPr>
        <w:numPr>
          <w:ilvl w:val="0"/>
          <w:numId w:val="95"/>
        </w:numPr>
        <w:spacing w:lineRule="auto"/>
      </w:pPr>
      <w:r>
        <w:rPr/>
        <w:t xml:space="preserve">Early dealer locking via workflow stickiness (switching costs)</w:t>
      </w:r>
    </w:p>
    <w:p>
      <w:pPr>
        <w:numPr>
          <w:ilvl w:val="0"/>
          <w:numId w:val="95"/>
        </w:numPr>
        <w:spacing w:lineRule="auto"/>
      </w:pPr>
      <w:r>
        <w:rPr/>
        <w:t xml:space="preserve">Rapid OEM partnerships to accelerate adoption</w:t>
      </w:r>
    </w:p>
    <w:p>
      <w:pPr>
        <w:numPr>
          <w:ilvl w:val="0"/>
          <w:numId w:val="95"/>
        </w:numPr>
        <w:spacing w:lineRule="auto"/>
      </w:pPr>
      <w:r>
        <w:rPr/>
        <w:t xml:space="preserve">Data moat compounds over time (5+ years to replicate)</w:t>
      </w:r>
    </w:p>
    <w:p>
      <w:pPr>
        <w:spacing w:line="271" w:before="240" w:lineRule="auto"/>
      </w:pPr>
      <w:bookmarkStart w:id="78" w:name="bm_2_regulatory_compliance_risks"/>
      <w:r>
        <w:rPr>
          <w:b/>
          <w:sz w:val="33"/>
        </w:rPr>
        <w:t xml:space="preserve">2. Regulatory &amp; Compliance Risks</w:t>
      </w:r>
      <w:bookmarkEnd w:id="78"/>
    </w:p>
    <w:p>
      <w:pPr>
        <w:spacing w:after="210" w:lineRule="auto"/>
      </w:pPr>
      <w:r>
        <w:rPr>
          <w:b/>
        </w:rPr>
        <w:t xml:space="preserve">a. Ambiguity in State-Level Lending Intermediary Rules</w:t>
      </w:r>
    </w:p>
    <w:p>
      <w:pPr>
        <w:spacing w:after="210" w:lineRule="auto"/>
      </w:pPr>
      <w:r>
        <w:rPr>
          <w:i/>
        </w:rPr>
        <w:t xml:space="preserve">Risk</w:t>
      </w:r>
      <w:r>
        <w:rPr/>
        <w:t xml:space="preserve">: Although we don't lend, some states have unique facilitator or intermediary requirements.</w:t>
      </w:r>
    </w:p>
    <w:p>
      <w:pPr>
        <w:spacing w:after="210" w:lineRule="auto"/>
      </w:pPr>
      <w:r>
        <w:rPr>
          <w:i/>
        </w:rPr>
        <w:t xml:space="preserve">Mitigation</w:t>
      </w:r>
      <w:r>
        <w:rPr/>
        <w:t xml:space="preserve">:</w:t>
      </w:r>
    </w:p>
    <w:p>
      <w:pPr>
        <w:numPr>
          <w:ilvl w:val="0"/>
          <w:numId w:val="96"/>
        </w:numPr>
        <w:spacing w:lineRule="auto"/>
      </w:pPr>
      <w:r>
        <w:rPr/>
        <w:t xml:space="preserve">Maintain compliance counsel across key states</w:t>
      </w:r>
    </w:p>
    <w:p>
      <w:pPr>
        <w:numPr>
          <w:ilvl w:val="0"/>
          <w:numId w:val="96"/>
        </w:numPr>
        <w:spacing w:lineRule="auto"/>
      </w:pPr>
      <w:r>
        <w:rPr/>
        <w:t xml:space="preserve">Document neutral role (no underwriting, no rate negotiation)</w:t>
      </w:r>
    </w:p>
    <w:p>
      <w:pPr>
        <w:numPr>
          <w:ilvl w:val="0"/>
          <w:numId w:val="96"/>
        </w:numPr>
        <w:spacing w:lineRule="auto"/>
      </w:pPr>
      <w:r>
        <w:rPr/>
        <w:t xml:space="preserve">Rapid-response playbook for regulatory updates</w:t>
      </w:r>
    </w:p>
    <w:p>
      <w:pPr>
        <w:numPr>
          <w:ilvl w:val="0"/>
          <w:numId w:val="96"/>
        </w:numPr>
        <w:spacing w:lineRule="auto"/>
      </w:pPr>
      <w:r>
        <w:rPr/>
        <w:t xml:space="preserve">Flexible architecture (can pivot to broker model if needed)</w:t>
      </w:r>
    </w:p>
    <w:p>
      <w:pPr>
        <w:spacing w:after="210" w:lineRule="auto"/>
      </w:pPr>
      <w:r>
        <w:rPr>
          <w:b/>
        </w:rPr>
        <w:t xml:space="preserve">b. Data Security &amp; Privacy Breach</w:t>
      </w:r>
    </w:p>
    <w:p>
      <w:pPr>
        <w:spacing w:after="210" w:lineRule="auto"/>
      </w:pPr>
      <w:r>
        <w:rPr>
          <w:i/>
        </w:rPr>
        <w:t xml:space="preserve">Risk</w:t>
      </w:r>
      <w:r>
        <w:rPr/>
        <w:t xml:space="preserve">: We handle sensitive borrower financial information; breach could cause reputational harm and legal liability.</w:t>
      </w:r>
    </w:p>
    <w:p>
      <w:pPr>
        <w:spacing w:after="210" w:lineRule="auto"/>
      </w:pPr>
      <w:r>
        <w:rPr>
          <w:i/>
        </w:rPr>
        <w:t xml:space="preserve">Mitigation</w:t>
      </w:r>
      <w:r>
        <w:rPr/>
        <w:t xml:space="preserve">:</w:t>
      </w:r>
    </w:p>
    <w:p>
      <w:pPr>
        <w:numPr>
          <w:ilvl w:val="0"/>
          <w:numId w:val="97"/>
        </w:numPr>
        <w:spacing w:lineRule="auto"/>
      </w:pPr>
      <w:r>
        <w:rPr/>
        <w:t xml:space="preserve">SOC 2 Type II certification (third-party validation)</w:t>
      </w:r>
    </w:p>
    <w:p>
      <w:pPr>
        <w:numPr>
          <w:ilvl w:val="0"/>
          <w:numId w:val="97"/>
        </w:numPr>
        <w:spacing w:lineRule="auto"/>
      </w:pPr>
      <w:r>
        <w:rPr/>
        <w:t xml:space="preserve">Encryption at rest and in transit (industry standard)</w:t>
      </w:r>
    </w:p>
    <w:p>
      <w:pPr>
        <w:numPr>
          <w:ilvl w:val="0"/>
          <w:numId w:val="97"/>
        </w:numPr>
        <w:spacing w:lineRule="auto"/>
      </w:pPr>
      <w:r>
        <w:rPr/>
        <w:t xml:space="preserve">Role-based access management (minimize exposure)</w:t>
      </w:r>
    </w:p>
    <w:p>
      <w:pPr>
        <w:numPr>
          <w:ilvl w:val="0"/>
          <w:numId w:val="97"/>
        </w:numPr>
        <w:spacing w:lineRule="auto"/>
      </w:pPr>
      <w:r>
        <w:rPr/>
        <w:t xml:space="preserve">Vendor security reviews (third-party risk management)</w:t>
      </w:r>
    </w:p>
    <w:p>
      <w:pPr>
        <w:numPr>
          <w:ilvl w:val="0"/>
          <w:numId w:val="97"/>
        </w:numPr>
        <w:spacing w:lineRule="auto"/>
      </w:pPr>
      <w:r>
        <w:rPr/>
        <w:t xml:space="preserve">Incident response plan and cyber liability insurance</w:t>
      </w:r>
    </w:p>
    <w:p>
      <w:pPr>
        <w:numPr>
          <w:ilvl w:val="0"/>
          <w:numId w:val="97"/>
        </w:numPr>
        <w:spacing w:lineRule="auto"/>
      </w:pPr>
      <w:r>
        <w:rPr/>
        <w:t xml:space="preserve">CCPA/GDPR compliance readiness</w:t>
      </w:r>
    </w:p>
    <w:p>
      <w:pPr>
        <w:spacing w:after="210" w:lineRule="auto"/>
      </w:pPr>
      <w:r>
        <w:rPr>
          <w:b/>
        </w:rPr>
        <w:t xml:space="preserve">c. Compliance Workflow Errors</w:t>
      </w:r>
    </w:p>
    <w:p>
      <w:pPr>
        <w:spacing w:after="210" w:lineRule="auto"/>
      </w:pPr>
      <w:r>
        <w:rPr>
          <w:i/>
        </w:rPr>
        <w:t xml:space="preserve">Risk</w:t>
      </w:r>
      <w:r>
        <w:rPr/>
        <w:t xml:space="preserve">: Incorrect or incomplete ECOA/Reg B compliance could expose dealers and lenders to audit risk.</w:t>
      </w:r>
    </w:p>
    <w:p>
      <w:pPr>
        <w:spacing w:after="210" w:lineRule="auto"/>
      </w:pPr>
      <w:r>
        <w:rPr>
          <w:i/>
        </w:rPr>
        <w:t xml:space="preserve">Mitigation</w:t>
      </w:r>
      <w:r>
        <w:rPr/>
        <w:t xml:space="preserve">:</w:t>
      </w:r>
    </w:p>
    <w:p>
      <w:pPr>
        <w:numPr>
          <w:ilvl w:val="0"/>
          <w:numId w:val="98"/>
        </w:numPr>
        <w:spacing w:lineRule="auto"/>
      </w:pPr>
      <w:r>
        <w:rPr/>
        <w:t xml:space="preserve">Automated compliance checklist (ensures completeness)</w:t>
      </w:r>
    </w:p>
    <w:p>
      <w:pPr>
        <w:numPr>
          <w:ilvl w:val="0"/>
          <w:numId w:val="98"/>
        </w:numPr>
        <w:spacing w:lineRule="auto"/>
      </w:pPr>
      <w:r>
        <w:rPr/>
        <w:t xml:space="preserve">Audit logging (timestamps, decision trails)</w:t>
      </w:r>
    </w:p>
    <w:p>
      <w:pPr>
        <w:numPr>
          <w:ilvl w:val="0"/>
          <w:numId w:val="98"/>
        </w:numPr>
        <w:spacing w:lineRule="auto"/>
      </w:pPr>
      <w:r>
        <w:rPr/>
        <w:t xml:space="preserve">Regular compliance testing (internal audits)</w:t>
      </w:r>
    </w:p>
    <w:p>
      <w:pPr>
        <w:numPr>
          <w:ilvl w:val="0"/>
          <w:numId w:val="98"/>
        </w:numPr>
        <w:spacing w:lineRule="auto"/>
      </w:pPr>
      <w:r>
        <w:rPr/>
        <w:t xml:space="preserve">Legal review of workflows (outside counsel)</w:t>
      </w:r>
    </w:p>
    <w:p>
      <w:pPr>
        <w:spacing w:line="271" w:before="240" w:lineRule="auto"/>
      </w:pPr>
      <w:bookmarkStart w:id="79" w:name="bm_3_operational_risks"/>
      <w:r>
        <w:rPr>
          <w:b/>
          <w:sz w:val="33"/>
        </w:rPr>
        <w:t xml:space="preserve">3. Operational Risks</w:t>
      </w:r>
      <w:bookmarkEnd w:id="79"/>
    </w:p>
    <w:p>
      <w:pPr>
        <w:spacing w:after="210" w:lineRule="auto"/>
      </w:pPr>
      <w:r>
        <w:rPr>
          <w:b/>
        </w:rPr>
        <w:t xml:space="preserve">a. Platform Downtime</w:t>
      </w:r>
    </w:p>
    <w:p>
      <w:pPr>
        <w:spacing w:after="210" w:lineRule="auto"/>
      </w:pPr>
      <w:r>
        <w:rPr>
          <w:i/>
        </w:rPr>
        <w:t xml:space="preserve">Risk</w:t>
      </w:r>
      <w:r>
        <w:rPr/>
        <w:t xml:space="preserve">: A downtime event during peak seasons (planting/harvest) could disrupt dealer operations and undermine trust.</w:t>
      </w:r>
    </w:p>
    <w:p>
      <w:pPr>
        <w:spacing w:after="210" w:lineRule="auto"/>
      </w:pPr>
      <w:r>
        <w:rPr>
          <w:i/>
        </w:rPr>
        <w:t xml:space="preserve">Mitigation</w:t>
      </w:r>
      <w:r>
        <w:rPr/>
        <w:t xml:space="preserve">:</w:t>
      </w:r>
    </w:p>
    <w:p>
      <w:pPr>
        <w:numPr>
          <w:ilvl w:val="0"/>
          <w:numId w:val="99"/>
        </w:numPr>
        <w:spacing w:lineRule="auto"/>
      </w:pPr>
      <w:r>
        <w:rPr/>
        <w:t xml:space="preserve">High-availability cloud architecture (99.9%+ uptime SLA)</w:t>
      </w:r>
    </w:p>
    <w:p>
      <w:pPr>
        <w:numPr>
          <w:ilvl w:val="0"/>
          <w:numId w:val="99"/>
        </w:numPr>
        <w:spacing w:lineRule="auto"/>
      </w:pPr>
      <w:r>
        <w:rPr/>
        <w:t xml:space="preserve">Redundant systems and failover infrastructure</w:t>
      </w:r>
    </w:p>
    <w:p>
      <w:pPr>
        <w:numPr>
          <w:ilvl w:val="0"/>
          <w:numId w:val="99"/>
        </w:numPr>
        <w:spacing w:lineRule="auto"/>
      </w:pPr>
      <w:r>
        <w:rPr/>
        <w:t xml:space="preserve">24/7 monitoring and alerting</w:t>
      </w:r>
    </w:p>
    <w:p>
      <w:pPr>
        <w:numPr>
          <w:ilvl w:val="0"/>
          <w:numId w:val="99"/>
        </w:numPr>
        <w:spacing w:lineRule="auto"/>
      </w:pPr>
      <w:r>
        <w:rPr/>
        <w:t xml:space="preserve">Seasonal load scaling (prepare for peak demand)</w:t>
      </w:r>
    </w:p>
    <w:p>
      <w:pPr>
        <w:numPr>
          <w:ilvl w:val="0"/>
          <w:numId w:val="99"/>
        </w:numPr>
        <w:spacing w:lineRule="auto"/>
      </w:pPr>
      <w:r>
        <w:rPr/>
        <w:t xml:space="preserve">Incident response playbook</w:t>
      </w:r>
    </w:p>
    <w:p>
      <w:pPr>
        <w:spacing w:after="210" w:lineRule="auto"/>
      </w:pPr>
      <w:r>
        <w:rPr>
          <w:b/>
        </w:rPr>
        <w:t xml:space="preserve">b. Data Quality Issues</w:t>
      </w:r>
    </w:p>
    <w:p>
      <w:pPr>
        <w:spacing w:after="210" w:lineRule="auto"/>
      </w:pPr>
      <w:r>
        <w:rPr>
          <w:i/>
        </w:rPr>
        <w:t xml:space="preserve">Risk</w:t>
      </w:r>
      <w:r>
        <w:rPr/>
        <w:t xml:space="preserve">: Incorrect or incomplete data reduces lender confidence in applications.</w:t>
      </w:r>
    </w:p>
    <w:p>
      <w:pPr>
        <w:spacing w:after="210" w:lineRule="auto"/>
      </w:pPr>
      <w:r>
        <w:rPr>
          <w:i/>
        </w:rPr>
        <w:t xml:space="preserve">Mitigation</w:t>
      </w:r>
      <w:r>
        <w:rPr/>
        <w:t xml:space="preserve">:</w:t>
      </w:r>
    </w:p>
    <w:p>
      <w:pPr>
        <w:numPr>
          <w:ilvl w:val="0"/>
          <w:numId w:val="100"/>
        </w:numPr>
        <w:spacing w:lineRule="auto"/>
      </w:pPr>
      <w:r>
        <w:rPr/>
        <w:t xml:space="preserve">Standardized application fields (reduces ambiguity)</w:t>
      </w:r>
    </w:p>
    <w:p>
      <w:pPr>
        <w:numPr>
          <w:ilvl w:val="0"/>
          <w:numId w:val="100"/>
        </w:numPr>
        <w:spacing w:lineRule="auto"/>
      </w:pPr>
      <w:r>
        <w:rPr/>
        <w:t xml:space="preserve">Automatic verification checks (real-time validation)</w:t>
      </w:r>
    </w:p>
    <w:p>
      <w:pPr>
        <w:numPr>
          <w:ilvl w:val="0"/>
          <w:numId w:val="100"/>
        </w:numPr>
        <w:spacing w:lineRule="auto"/>
      </w:pPr>
      <w:r>
        <w:rPr/>
        <w:t xml:space="preserve">Dealer training and validation prompts (user-side quality control)</w:t>
      </w:r>
    </w:p>
    <w:p>
      <w:pPr>
        <w:numPr>
          <w:ilvl w:val="0"/>
          <w:numId w:val="100"/>
        </w:numPr>
        <w:spacing w:lineRule="auto"/>
      </w:pPr>
      <w:r>
        <w:rPr/>
        <w:t xml:space="preserve">Feedback loops (lenders report data quality issues)</w:t>
      </w:r>
    </w:p>
    <w:p>
      <w:pPr>
        <w:spacing w:after="210" w:lineRule="auto"/>
      </w:pPr>
      <w:r>
        <w:rPr>
          <w:b/>
        </w:rPr>
        <w:t xml:space="preserve">c. Integration Failures</w:t>
      </w:r>
    </w:p>
    <w:p>
      <w:pPr>
        <w:spacing w:after="210" w:lineRule="auto"/>
      </w:pPr>
      <w:r>
        <w:rPr>
          <w:i/>
        </w:rPr>
        <w:t xml:space="preserve">Risk</w:t>
      </w:r>
      <w:r>
        <w:rPr/>
        <w:t xml:space="preserve">: Lender API integrations fail or become incompatible.</w:t>
      </w:r>
    </w:p>
    <w:p>
      <w:pPr>
        <w:spacing w:after="210" w:lineRule="auto"/>
      </w:pPr>
      <w:r>
        <w:rPr>
          <w:i/>
        </w:rPr>
        <w:t xml:space="preserve">Mitigation</w:t>
      </w:r>
      <w:r>
        <w:rPr/>
        <w:t xml:space="preserve">:</w:t>
      </w:r>
    </w:p>
    <w:p>
      <w:pPr>
        <w:numPr>
          <w:ilvl w:val="0"/>
          <w:numId w:val="101"/>
        </w:numPr>
        <w:spacing w:lineRule="auto"/>
      </w:pPr>
      <w:r>
        <w:rPr/>
        <w:t xml:space="preserve">Robust error handling and retry logic</w:t>
      </w:r>
    </w:p>
    <w:p>
      <w:pPr>
        <w:numPr>
          <w:ilvl w:val="0"/>
          <w:numId w:val="101"/>
        </w:numPr>
        <w:spacing w:lineRule="auto"/>
      </w:pPr>
      <w:r>
        <w:rPr/>
        <w:t xml:space="preserve">Vendor support agreements (SLA-backed)</w:t>
      </w:r>
    </w:p>
    <w:p>
      <w:pPr>
        <w:numPr>
          <w:ilvl w:val="0"/>
          <w:numId w:val="101"/>
        </w:numPr>
        <w:spacing w:lineRule="auto"/>
      </w:pPr>
      <w:r>
        <w:rPr/>
        <w:t xml:space="preserve">Fallback workflows (manual submission if API fails)</w:t>
      </w:r>
    </w:p>
    <w:p>
      <w:pPr>
        <w:numPr>
          <w:ilvl w:val="0"/>
          <w:numId w:val="101"/>
        </w:numPr>
        <w:spacing w:lineRule="auto"/>
      </w:pPr>
      <w:r>
        <w:rPr/>
        <w:t xml:space="preserve">Regular integration testing</w:t>
      </w:r>
    </w:p>
    <w:p>
      <w:pPr>
        <w:spacing w:line="271" w:before="240" w:lineRule="auto"/>
      </w:pPr>
      <w:bookmarkStart w:id="80" w:name="bm_4_financial_unit_economics_risks"/>
      <w:r>
        <w:rPr>
          <w:b/>
          <w:sz w:val="33"/>
        </w:rPr>
        <w:t xml:space="preserve">4. Financial &amp; Unit Economics Risks</w:t>
      </w:r>
      <w:bookmarkEnd w:id="80"/>
    </w:p>
    <w:p>
      <w:pPr>
        <w:spacing w:after="210" w:lineRule="auto"/>
      </w:pPr>
      <w:r>
        <w:rPr>
          <w:b/>
        </w:rPr>
        <w:t xml:space="preserve">a. Lower CAC Payback</w:t>
      </w:r>
    </w:p>
    <w:p>
      <w:pPr>
        <w:spacing w:after="210" w:lineRule="auto"/>
      </w:pPr>
      <w:r>
        <w:rPr>
          <w:i/>
        </w:rPr>
        <w:t xml:space="preserve">Risk</w:t>
      </w:r>
      <w:r>
        <w:rPr/>
        <w:t xml:space="preserve">: Dealer acquisition costs exceed projections, stretching payback period.</w:t>
      </w:r>
    </w:p>
    <w:p>
      <w:pPr>
        <w:spacing w:after="210" w:lineRule="auto"/>
      </w:pPr>
      <w:r>
        <w:rPr>
          <w:i/>
        </w:rPr>
        <w:t xml:space="preserve">Mitigation</w:t>
      </w:r>
      <w:r>
        <w:rPr/>
        <w:t xml:space="preserve">:</w:t>
      </w:r>
    </w:p>
    <w:p>
      <w:pPr>
        <w:numPr>
          <w:ilvl w:val="0"/>
          <w:numId w:val="102"/>
        </w:numPr>
        <w:spacing w:lineRule="auto"/>
      </w:pPr>
      <w:r>
        <w:rPr/>
        <w:t xml:space="preserve">Organic + referral-driven adoption (reduce paid CAC)</w:t>
      </w:r>
    </w:p>
    <w:p>
      <w:pPr>
        <w:numPr>
          <w:ilvl w:val="0"/>
          <w:numId w:val="102"/>
        </w:numPr>
        <w:spacing w:lineRule="auto"/>
      </w:pPr>
      <w:r>
        <w:rPr/>
        <w:t xml:space="preserve">Partner channels (dealer associations, OEMs)</w:t>
      </w:r>
    </w:p>
    <w:p>
      <w:pPr>
        <w:numPr>
          <w:ilvl w:val="0"/>
          <w:numId w:val="102"/>
        </w:numPr>
        <w:spacing w:lineRule="auto"/>
      </w:pPr>
      <w:r>
        <w:rPr/>
        <w:t xml:space="preserve">Freemium model (trial for small dealers)</w:t>
      </w:r>
    </w:p>
    <w:p>
      <w:pPr>
        <w:spacing w:after="210" w:lineRule="auto"/>
      </w:pPr>
      <w:r>
        <w:rPr>
          <w:b/>
        </w:rPr>
        <w:t xml:space="preserve">b. Lower Average Loan Volume per Dealer</w:t>
      </w:r>
    </w:p>
    <w:p>
      <w:pPr>
        <w:spacing w:after="210" w:lineRule="auto"/>
      </w:pPr>
      <w:r>
        <w:rPr>
          <w:i/>
        </w:rPr>
        <w:t xml:space="preserve">Risk</w:t>
      </w:r>
      <w:r>
        <w:rPr/>
        <w:t xml:space="preserve">: Dealers submit fewer loans than projected (30 instead of 50).</w:t>
      </w:r>
    </w:p>
    <w:p>
      <w:pPr>
        <w:spacing w:after="210" w:lineRule="auto"/>
      </w:pPr>
      <w:r>
        <w:rPr>
          <w:i/>
        </w:rPr>
        <w:t xml:space="preserve">Mitigation</w:t>
      </w:r>
      <w:r>
        <w:rPr/>
        <w:t xml:space="preserve">:</w:t>
      </w:r>
    </w:p>
    <w:p>
      <w:pPr>
        <w:numPr>
          <w:ilvl w:val="0"/>
          <w:numId w:val="103"/>
        </w:numPr>
        <w:spacing w:lineRule="auto"/>
      </w:pPr>
      <w:r>
        <w:rPr/>
        <w:t xml:space="preserve">Focus on high-volume segments (used equipment, implements)</w:t>
      </w:r>
    </w:p>
    <w:p>
      <w:pPr>
        <w:numPr>
          <w:ilvl w:val="0"/>
          <w:numId w:val="103"/>
        </w:numPr>
        <w:spacing w:lineRule="auto"/>
      </w:pPr>
      <w:r>
        <w:rPr/>
        <w:t xml:space="preserve">Expand use cases (refinancing, working capital)</w:t>
      </w:r>
    </w:p>
    <w:p>
      <w:pPr>
        <w:numPr>
          <w:ilvl w:val="0"/>
          <w:numId w:val="103"/>
        </w:numPr>
        <w:spacing w:lineRule="auto"/>
      </w:pPr>
      <w:r>
        <w:rPr/>
        <w:t xml:space="preserve">OEM incentive programs (increase financing take-rate)</w:t>
      </w:r>
    </w:p>
    <w:p>
      <w:pPr>
        <w:spacing w:after="210" w:lineRule="auto"/>
      </w:pPr>
      <w:r>
        <w:rPr>
          <w:b/>
        </w:rPr>
        <w:t xml:space="preserve">c. Lender Fee Compression</w:t>
      </w:r>
    </w:p>
    <w:p>
      <w:pPr>
        <w:spacing w:after="210" w:lineRule="auto"/>
      </w:pPr>
      <w:r>
        <w:rPr>
          <w:i/>
        </w:rPr>
        <w:t xml:space="preserve">Risk</w:t>
      </w:r>
      <w:r>
        <w:rPr/>
        <w:t xml:space="preserve">: Lenders negotiate lower success fees (1% instead of 2%).</w:t>
      </w:r>
    </w:p>
    <w:p>
      <w:pPr>
        <w:spacing w:after="210" w:lineRule="auto"/>
      </w:pPr>
      <w:r>
        <w:rPr>
          <w:i/>
        </w:rPr>
        <w:t xml:space="preserve">Mitigation</w:t>
      </w:r>
      <w:r>
        <w:rPr/>
        <w:t xml:space="preserve">:</w:t>
      </w:r>
    </w:p>
    <w:p>
      <w:pPr>
        <w:numPr>
          <w:ilvl w:val="0"/>
          <w:numId w:val="104"/>
        </w:numPr>
        <w:spacing w:lineRule="auto"/>
      </w:pPr>
      <w:r>
        <w:rPr/>
        <w:t xml:space="preserve">Defensible value proposition (cost reduction, volume increase)</w:t>
      </w:r>
    </w:p>
    <w:p>
      <w:pPr>
        <w:numPr>
          <w:ilvl w:val="0"/>
          <w:numId w:val="104"/>
        </w:numPr>
        <w:spacing w:lineRule="auto"/>
      </w:pPr>
      <w:r>
        <w:rPr/>
        <w:t xml:space="preserve">Diversified lender base (no single lender dependency)</w:t>
      </w:r>
    </w:p>
    <w:p>
      <w:pPr>
        <w:numPr>
          <w:ilvl w:val="0"/>
          <w:numId w:val="104"/>
        </w:numPr>
        <w:spacing w:lineRule="auto"/>
      </w:pPr>
      <w:r>
        <w:rPr/>
        <w:t xml:space="preserve">Performance-based pricing (align success fee to value delivered)</w:t>
      </w:r>
    </w:p>
    <w:p>
      <w:pPr>
        <w:spacing w:line="271" w:before="240" w:lineRule="auto"/>
      </w:pPr>
      <w:bookmarkStart w:id="81" w:name="bm_5_macroeconomic_risks"/>
      <w:r>
        <w:rPr>
          <w:b/>
          <w:sz w:val="33"/>
        </w:rPr>
        <w:t xml:space="preserve">5. Macroeconomic Risks</w:t>
      </w:r>
      <w:bookmarkEnd w:id="81"/>
    </w:p>
    <w:p>
      <w:pPr>
        <w:spacing w:after="210" w:lineRule="auto"/>
      </w:pPr>
      <w:r>
        <w:rPr>
          <w:b/>
        </w:rPr>
        <w:t xml:space="preserve">a. Interest Rate Volatility</w:t>
      </w:r>
    </w:p>
    <w:p>
      <w:pPr>
        <w:spacing w:after="210" w:lineRule="auto"/>
      </w:pPr>
      <w:r>
        <w:rPr>
          <w:i/>
        </w:rPr>
        <w:t xml:space="preserve">Risk</w:t>
      </w:r>
      <w:r>
        <w:rPr/>
        <w:t xml:space="preserve">: Higher rates could reduce equipment purchases.</w:t>
      </w:r>
    </w:p>
    <w:p>
      <w:pPr>
        <w:spacing w:after="210" w:lineRule="auto"/>
      </w:pPr>
      <w:r>
        <w:rPr>
          <w:i/>
        </w:rPr>
        <w:t xml:space="preserve">Mitigation</w:t>
      </w:r>
      <w:r>
        <w:rPr/>
        <w:t xml:space="preserve">:</w:t>
      </w:r>
    </w:p>
    <w:p>
      <w:pPr>
        <w:numPr>
          <w:ilvl w:val="0"/>
          <w:numId w:val="105"/>
        </w:numPr>
        <w:spacing w:lineRule="auto"/>
      </w:pPr>
      <w:r>
        <w:rPr/>
        <w:t xml:space="preserve">Diversify across farm sizes and geographies</w:t>
      </w:r>
    </w:p>
    <w:p>
      <w:pPr>
        <w:numPr>
          <w:ilvl w:val="0"/>
          <w:numId w:val="105"/>
        </w:numPr>
        <w:spacing w:lineRule="auto"/>
      </w:pPr>
      <w:r>
        <w:rPr/>
        <w:t xml:space="preserve">Expand into used equipment and refinance opportunities</w:t>
      </w:r>
    </w:p>
    <w:p>
      <w:pPr>
        <w:numPr>
          <w:ilvl w:val="0"/>
          <w:numId w:val="105"/>
        </w:numPr>
        <w:spacing w:lineRule="auto"/>
      </w:pPr>
      <w:r>
        <w:rPr/>
        <w:t xml:space="preserve">Offer lenders analytics improving credit selection</w:t>
      </w:r>
    </w:p>
    <w:p>
      <w:pPr>
        <w:numPr>
          <w:ilvl w:val="0"/>
          <w:numId w:val="105"/>
        </w:numPr>
        <w:spacing w:lineRule="auto"/>
      </w:pPr>
      <w:r>
        <w:rPr/>
        <w:t xml:space="preserve">Recession-resistant collateral class (equipment backed by operational necessity)</w:t>
      </w:r>
    </w:p>
    <w:p>
      <w:pPr>
        <w:spacing w:after="210" w:lineRule="auto"/>
      </w:pPr>
      <w:r>
        <w:rPr>
          <w:b/>
        </w:rPr>
        <w:t xml:space="preserve">b. Commodity Price Fluctuations</w:t>
      </w:r>
    </w:p>
    <w:p>
      <w:pPr>
        <w:spacing w:after="210" w:lineRule="auto"/>
      </w:pPr>
      <w:r>
        <w:rPr>
          <w:i/>
        </w:rPr>
        <w:t xml:space="preserve">Risk</w:t>
      </w:r>
      <w:r>
        <w:rPr/>
        <w:t xml:space="preserve">: Farmer income tied to volatile crop/livestock markets; reduces financing demand.</w:t>
      </w:r>
    </w:p>
    <w:p>
      <w:pPr>
        <w:spacing w:after="210" w:lineRule="auto"/>
      </w:pPr>
      <w:r>
        <w:rPr>
          <w:i/>
        </w:rPr>
        <w:t xml:space="preserve">Mitigation</w:t>
      </w:r>
      <w:r>
        <w:rPr/>
        <w:t xml:space="preserve">:</w:t>
      </w:r>
    </w:p>
    <w:p>
      <w:pPr>
        <w:numPr>
          <w:ilvl w:val="0"/>
          <w:numId w:val="106"/>
        </w:numPr>
        <w:spacing w:lineRule="auto"/>
      </w:pPr>
      <w:r>
        <w:rPr/>
        <w:t xml:space="preserve">Serve multiple crop, livestock, and specialty segments</w:t>
      </w:r>
    </w:p>
    <w:p>
      <w:pPr>
        <w:numPr>
          <w:ilvl w:val="0"/>
          <w:numId w:val="106"/>
        </w:numPr>
        <w:spacing w:lineRule="auto"/>
      </w:pPr>
      <w:r>
        <w:rPr/>
        <w:t xml:space="preserve">Provide lenders with risk insights to stabilize approvals</w:t>
      </w:r>
    </w:p>
    <w:p>
      <w:pPr>
        <w:numPr>
          <w:ilvl w:val="0"/>
          <w:numId w:val="106"/>
        </w:numPr>
        <w:spacing w:lineRule="auto"/>
      </w:pPr>
      <w:r>
        <w:rPr/>
        <w:t xml:space="preserve">Help lenders implement counter-cyclical pricing</w:t>
      </w:r>
    </w:p>
    <w:p>
      <w:pPr>
        <w:spacing w:after="210" w:lineRule="auto"/>
      </w:pPr>
      <w:r>
        <w:rPr>
          <w:b/>
        </w:rPr>
        <w:t xml:space="preserve">c. Agricultural Sector Consolidation</w:t>
      </w:r>
    </w:p>
    <w:p>
      <w:pPr>
        <w:spacing w:after="210" w:lineRule="auto"/>
      </w:pPr>
      <w:r>
        <w:rPr>
          <w:i/>
        </w:rPr>
        <w:t xml:space="preserve">Risk</w:t>
      </w:r>
      <w:r>
        <w:rPr/>
        <w:t xml:space="preserve">: Continued consolidation of farms reduces number of borrowers.</w:t>
      </w:r>
    </w:p>
    <w:p>
      <w:pPr>
        <w:spacing w:after="210" w:lineRule="auto"/>
      </w:pPr>
      <w:r>
        <w:rPr>
          <w:i/>
        </w:rPr>
        <w:t xml:space="preserve">Mitigation</w:t>
      </w:r>
      <w:r>
        <w:rPr/>
        <w:t xml:space="preserve">:</w:t>
      </w:r>
    </w:p>
    <w:p>
      <w:pPr>
        <w:numPr>
          <w:ilvl w:val="0"/>
          <w:numId w:val="107"/>
        </w:numPr>
        <w:spacing w:lineRule="auto"/>
      </w:pPr>
      <w:r>
        <w:rPr/>
        <w:t xml:space="preserve">Larger farms still need equipment financing</w:t>
      </w:r>
    </w:p>
    <w:p>
      <w:pPr>
        <w:numPr>
          <w:ilvl w:val="0"/>
          <w:numId w:val="107"/>
        </w:numPr>
        <w:spacing w:lineRule="auto"/>
      </w:pPr>
      <w:r>
        <w:rPr/>
        <w:t xml:space="preserve">Shift mix toward multi-farm operations</w:t>
      </w:r>
    </w:p>
    <w:p>
      <w:pPr>
        <w:numPr>
          <w:ilvl w:val="0"/>
          <w:numId w:val="107"/>
        </w:numPr>
        <w:spacing w:lineRule="auto"/>
      </w:pPr>
      <w:r>
        <w:rPr/>
        <w:t xml:space="preserve">Expand to adjacent rural sectors (construction, forestry)</w:t>
      </w:r>
    </w:p>
    <w:p>
      <w:pPr>
        <w:spacing w:line="271" w:before="240" w:lineRule="auto"/>
      </w:pPr>
      <w:bookmarkStart w:id="82" w:name="bm_6_long_term_strategic_risks"/>
      <w:r>
        <w:rPr>
          <w:b/>
          <w:sz w:val="33"/>
        </w:rPr>
        <w:t xml:space="preserve">6. Long-Term Strategic Risks</w:t>
      </w:r>
      <w:bookmarkEnd w:id="82"/>
    </w:p>
    <w:p>
      <w:pPr>
        <w:spacing w:after="210" w:lineRule="auto"/>
      </w:pPr>
      <w:r>
        <w:rPr>
          <w:b/>
        </w:rPr>
        <w:t xml:space="preserve">a. Platform Disintermediation</w:t>
      </w:r>
    </w:p>
    <w:p>
      <w:pPr>
        <w:spacing w:after="210" w:lineRule="auto"/>
      </w:pPr>
      <w:r>
        <w:rPr>
          <w:i/>
        </w:rPr>
        <w:t xml:space="preserve">Risk</w:t>
      </w:r>
      <w:r>
        <w:rPr/>
        <w:t xml:space="preserve">: Lenders and OEMs attempt to build internal tools, reducing platform value.</w:t>
      </w:r>
    </w:p>
    <w:p>
      <w:pPr>
        <w:spacing w:after="210" w:lineRule="auto"/>
      </w:pPr>
      <w:r>
        <w:rPr>
          <w:i/>
        </w:rPr>
        <w:t xml:space="preserve">Mitigation</w:t>
      </w:r>
      <w:r>
        <w:rPr/>
        <w:t xml:space="preserve">:</w:t>
      </w:r>
    </w:p>
    <w:p>
      <w:pPr>
        <w:numPr>
          <w:ilvl w:val="0"/>
          <w:numId w:val="108"/>
        </w:numPr>
        <w:spacing w:lineRule="auto"/>
      </w:pPr>
      <w:r>
        <w:rPr/>
        <w:t xml:space="preserve">Integration moat (expensive and time-consuming to build)</w:t>
      </w:r>
    </w:p>
    <w:p>
      <w:pPr>
        <w:numPr>
          <w:ilvl w:val="0"/>
          <w:numId w:val="108"/>
        </w:numPr>
        <w:spacing w:lineRule="auto"/>
      </w:pPr>
      <w:r>
        <w:rPr/>
        <w:t xml:space="preserve">Network effects (value increases with each dealer/lender added)</w:t>
      </w:r>
    </w:p>
    <w:p>
      <w:pPr>
        <w:numPr>
          <w:ilvl w:val="0"/>
          <w:numId w:val="108"/>
        </w:numPr>
        <w:spacing w:lineRule="auto"/>
      </w:pPr>
      <w:r>
        <w:rPr/>
        <w:t xml:space="preserve">Dealer loyalty through workflow centrality (embedded in DMS)</w:t>
      </w:r>
    </w:p>
    <w:p>
      <w:pPr>
        <w:numPr>
          <w:ilvl w:val="0"/>
          <w:numId w:val="108"/>
        </w:numPr>
        <w:spacing w:lineRule="auto"/>
      </w:pPr>
      <w:r>
        <w:rPr/>
        <w:t xml:space="preserve">Superior data-intelligence engines (5+ years to replicate)</w:t>
      </w:r>
    </w:p>
    <w:p>
      <w:pPr>
        <w:spacing w:after="210" w:lineRule="auto"/>
      </w:pPr>
      <w:r>
        <w:rPr>
          <w:b/>
        </w:rPr>
        <w:t xml:space="preserve">b. Adjacent Competitor Entry</w:t>
      </w:r>
    </w:p>
    <w:p>
      <w:pPr>
        <w:spacing w:after="210" w:lineRule="auto"/>
      </w:pPr>
      <w:r>
        <w:rPr>
          <w:i/>
        </w:rPr>
        <w:t xml:space="preserve">Risk</w:t>
      </w:r>
      <w:r>
        <w:rPr/>
        <w:t xml:space="preserve">: General equipment-finance fintechs (OnDeck, Fundbox) expand into ag.</w:t>
      </w:r>
    </w:p>
    <w:p>
      <w:pPr>
        <w:spacing w:after="210" w:lineRule="auto"/>
      </w:pPr>
      <w:r>
        <w:rPr>
          <w:i/>
        </w:rPr>
        <w:t xml:space="preserve">Mitigation</w:t>
      </w:r>
      <w:r>
        <w:rPr/>
        <w:t xml:space="preserve">:</w:t>
      </w:r>
    </w:p>
    <w:p>
      <w:pPr>
        <w:numPr>
          <w:ilvl w:val="0"/>
          <w:numId w:val="109"/>
        </w:numPr>
        <w:spacing w:lineRule="auto"/>
      </w:pPr>
      <w:r>
        <w:rPr/>
        <w:t xml:space="preserve">Deep specialization in agriculture (rural-specific insights)</w:t>
      </w:r>
    </w:p>
    <w:p>
      <w:pPr>
        <w:numPr>
          <w:ilvl w:val="0"/>
          <w:numId w:val="109"/>
        </w:numPr>
        <w:spacing w:lineRule="auto"/>
      </w:pPr>
      <w:r>
        <w:rPr/>
        <w:t xml:space="preserve">Dealer relationships (hard to displace)</w:t>
      </w:r>
    </w:p>
    <w:p>
      <w:pPr>
        <w:numPr>
          <w:ilvl w:val="0"/>
          <w:numId w:val="109"/>
        </w:numPr>
        <w:spacing w:lineRule="auto"/>
      </w:pPr>
      <w:r>
        <w:rPr/>
        <w:t xml:space="preserve">OEM partnerships (exclusive relationships)</w:t>
      </w:r>
    </w:p>
    <w:p>
      <w:pPr>
        <w:numPr>
          <w:ilvl w:val="0"/>
          <w:numId w:val="109"/>
        </w:numPr>
        <w:spacing w:lineRule="auto"/>
      </w:pPr>
      <w:r>
        <w:rPr/>
        <w:t xml:space="preserve">Regulatory/compliance specialization (ag-specific)</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3" w:name="bm_15_financial_model_base_case_m_35dc38"/>
      <w:r>
        <w:rPr>
          <w:b/>
          <w:sz w:val="42"/>
        </w:rPr>
        <w:t xml:space="preserve">15. FINANCIAL MODEL (Base Case Multi-Year Projection)</w:t>
      </w:r>
      <w:bookmarkEnd w:id="83"/>
    </w:p>
    <w:p>
      <w:pPr>
        <w:spacing w:line="271" w:before="240" w:lineRule="auto"/>
      </w:pPr>
      <w:bookmarkStart w:id="84" w:name="core_model_assumptions"/>
      <w:r>
        <w:rPr>
          <w:b/>
          <w:sz w:val="33"/>
        </w:rPr>
        <w:t xml:space="preserve">Core Model Assumptions</w:t>
      </w:r>
      <w:bookmarkEnd w:id="8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Assumption</w:t>
            </w:r>
          </w:p>
        </w:tc>
        <w:tc>
          <w:tcPr>
            <w:tcBorders>
              <w:top w:val="single" w:sz="1" w:space="0" w:color="000000"/>
              <w:left w:val="single" w:sz="1" w:space="0" w:color="000000"/>
              <w:bottom w:val="single" w:sz="1" w:space="0" w:color="000000"/>
            </w:tcBorders>
          </w:tcPr>
          <w:p>
            <w:pPr>
              <w:spacing w:lineRule="auto"/>
            </w:pPr>
            <w:r>
              <w:rPr/>
              <w:t xml:space="preserve">Value</w:t>
            </w:r>
          </w:p>
        </w:tc>
        <w:tc>
          <w:tcPr>
            <w:tcBorders>
              <w:top w:val="single" w:sz="1" w:space="0" w:color="000000"/>
              <w:left w:val="single" w:sz="1" w:space="0" w:color="000000"/>
              <w:bottom w:val="single" w:sz="1" w:space="0" w:color="000000"/>
            </w:tcBorders>
          </w:tcPr>
          <w:p>
            <w:pPr>
              <w:spacing w:lineRule="auto"/>
            </w:pPr>
            <w:r>
              <w:rPr/>
              <w:t xml:space="preserve">Basis</w:t>
            </w:r>
          </w:p>
        </w:tc>
        <w:tc>
          <w:tcPr>
            <w:tcBorders>
              <w:top w:val="single" w:sz="1" w:space="0" w:color="000000"/>
              <w:left w:val="single" w:sz="1" w:space="0" w:color="000000"/>
              <w:bottom w:val="single" w:sz="1" w:space="0" w:color="000000"/>
            </w:tcBorders>
          </w:tcPr>
          <w:p>
            <w:pPr>
              <w:spacing w:lineRule="auto"/>
            </w:pPr>
            <w:r>
              <w:rPr/>
              <w:t xml:space="preserve">Sensitivity Range</w:t>
            </w:r>
          </w:p>
        </w:tc>
      </w:tr>
      <w:tr>
        <w:trPr>
          <w:cantSplit/>
        </w:trPr>
        <w:tc>
          <w:tcPr>
            <w:tcBorders>
              <w:top w:val="single" w:sz="1" w:space="0" w:color="000000"/>
              <w:bottom w:val="single" w:sz="1" w:space="0" w:color="000000"/>
            </w:tcBorders>
          </w:tcPr>
          <w:p>
            <w:pPr>
              <w:spacing w:lineRule="auto"/>
            </w:pPr>
            <w:r>
              <w:rPr>
                <w:b/>
              </w:rPr>
              <w:t xml:space="preserve">Year 1 Dealers</w:t>
            </w:r>
          </w:p>
        </w:tc>
        <w:tc>
          <w:tcPr>
            <w:tcBorders>
              <w:top w:val="single" w:sz="1" w:space="0" w:color="000000"/>
              <w:left w:val="single" w:sz="1" w:space="0" w:color="000000"/>
              <w:bottom w:val="single" w:sz="1" w:space="0" w:color="000000"/>
            </w:tcBorders>
          </w:tcPr>
          <w:p>
            <w:pPr>
              <w:spacing w:lineRule="auto"/>
            </w:pPr>
            <w:r>
              <w:rPr/>
              <w:t xml:space="preserve">40</w:t>
            </w:r>
          </w:p>
        </w:tc>
        <w:tc>
          <w:tcPr>
            <w:tcBorders>
              <w:top w:val="single" w:sz="1" w:space="0" w:color="000000"/>
              <w:left w:val="single" w:sz="1" w:space="0" w:color="000000"/>
              <w:bottom w:val="single" w:sz="1" w:space="0" w:color="000000"/>
            </w:tcBorders>
          </w:tcPr>
          <w:p>
            <w:pPr>
              <w:spacing w:lineRule="auto"/>
            </w:pPr>
            <w:r>
              <w:rPr/>
              <w:t xml:space="preserve">Conservative first-year target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20–60</w:t>
            </w:r>
          </w:p>
        </w:tc>
      </w:tr>
      <w:tr>
        <w:trPr>
          <w:cantSplit/>
        </w:trPr>
        <w:tc>
          <w:tcPr>
            <w:tcBorders>
              <w:top w:val="single" w:sz="1" w:space="0" w:color="000000"/>
              <w:bottom w:val="single" w:sz="1" w:space="0" w:color="000000"/>
            </w:tcBorders>
          </w:tcPr>
          <w:p>
            <w:pPr>
              <w:spacing w:lineRule="auto"/>
            </w:pPr>
            <w:r>
              <w:rPr>
                <w:b/>
              </w:rPr>
              <w:t xml:space="preserve">Dealer Growth Rate (Yr1–5)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45–70%</w:t>
            </w:r>
          </w:p>
        </w:tc>
        <w:tc>
          <w:tcPr>
            <w:tcBorders>
              <w:top w:val="single" w:sz="1" w:space="0" w:color="000000"/>
              <w:left w:val="single" w:sz="1" w:space="0" w:color="000000"/>
              <w:bottom w:val="single" w:sz="1" w:space="0" w:color="000000"/>
            </w:tcBorders>
          </w:tcPr>
          <w:p>
            <w:pPr>
              <w:spacing w:lineRule="auto"/>
            </w:pPr>
            <w:r>
              <w:rPr/>
              <w:t xml:space="preserve">Proven SaaS onboarding rate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25–100%</w:t>
            </w:r>
          </w:p>
        </w:tc>
      </w:tr>
      <w:tr>
        <w:trPr>
          <w:cantSplit/>
        </w:trPr>
        <w:tc>
          <w:tcPr>
            <w:tcBorders>
              <w:top w:val="single" w:sz="1" w:space="0" w:color="000000"/>
              <w:bottom w:val="single" w:sz="1" w:space="0" w:color="000000"/>
            </w:tcBorders>
          </w:tcPr>
          <w:p>
            <w:pPr>
              <w:spacing w:lineRule="auto"/>
            </w:pPr>
            <w:r>
              <w:rPr>
                <w:b/>
              </w:rPr>
              <w:t xml:space="preserve">Funded Loans per Dealer/Year</w:t>
            </w:r>
          </w:p>
        </w:tc>
        <w:tc>
          <w:tcPr>
            <w:tcBorders>
              <w:top w:val="single" w:sz="1" w:space="0" w:color="000000"/>
              <w:left w:val="single" w:sz="1" w:space="0" w:color="000000"/>
              <w:bottom w:val="single" w:sz="1" w:space="0" w:color="000000"/>
            </w:tcBorders>
          </w:tcPr>
          <w:p>
            <w:pPr>
              <w:spacing w:lineRule="auto"/>
            </w:pPr>
            <w:r>
              <w:rPr/>
              <w:t xml:space="preserve">50</w:t>
            </w:r>
          </w:p>
        </w:tc>
        <w:tc>
          <w:tcPr>
            <w:tcBorders>
              <w:top w:val="single" w:sz="1" w:space="0" w:color="000000"/>
              <w:left w:val="single" w:sz="1" w:space="0" w:color="000000"/>
              <w:bottom w:val="single" w:sz="1" w:space="0" w:color="000000"/>
            </w:tcBorders>
          </w:tcPr>
          <w:p>
            <w:pPr>
              <w:spacing w:lineRule="auto"/>
            </w:pPr>
            <w:r>
              <w:rPr/>
              <w:t xml:space="preserve">$80K avg loan size; $4B SAM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30–75</w:t>
            </w:r>
          </w:p>
        </w:tc>
      </w:tr>
      <w:tr>
        <w:trPr>
          <w:cantSplit/>
        </w:trPr>
        <w:tc>
          <w:tcPr>
            <w:tcBorders>
              <w:top w:val="single" w:sz="1" w:space="0" w:color="000000"/>
              <w:bottom w:val="single" w:sz="1" w:space="0" w:color="000000"/>
            </w:tcBorders>
          </w:tcPr>
          <w:p>
            <w:pPr>
              <w:spacing w:lineRule="auto"/>
            </w:pPr>
            <w:r>
              <w:rPr>
                <w:b/>
              </w:rPr>
              <w:t xml:space="preserve">Average Loan Size</w:t>
            </w:r>
          </w:p>
        </w:tc>
        <w:tc>
          <w:tcPr>
            <w:tcBorders>
              <w:top w:val="single" w:sz="1" w:space="0" w:color="000000"/>
              <w:left w:val="single" w:sz="1" w:space="0" w:color="000000"/>
              <w:bottom w:val="single" w:sz="1" w:space="0" w:color="000000"/>
            </w:tcBorders>
          </w:tcPr>
          <w:p>
            <w:pPr>
              <w:spacing w:lineRule="auto"/>
            </w:pPr>
            <w:r>
              <w:rPr/>
              <w:t xml:space="preserve">$80,000</w:t>
            </w:r>
          </w:p>
        </w:tc>
        <w:tc>
          <w:tcPr>
            <w:tcBorders>
              <w:top w:val="single" w:sz="1" w:space="0" w:color="000000"/>
              <w:left w:val="single" w:sz="1" w:space="0" w:color="000000"/>
              <w:bottom w:val="single" w:sz="1" w:space="0" w:color="000000"/>
            </w:tcBorders>
          </w:tcPr>
          <w:p>
            <w:pPr>
              <w:spacing w:lineRule="auto"/>
            </w:pPr>
            <w:r>
              <w:rPr/>
              <w:t xml:space="preserve">USDA equipment purchase data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$60K–$120K</w:t>
            </w:r>
          </w:p>
        </w:tc>
      </w:tr>
      <w:tr>
        <w:trPr>
          <w:cantSplit/>
        </w:trPr>
        <w:tc>
          <w:tcPr>
            <w:tcBorders>
              <w:top w:val="single" w:sz="1" w:space="0" w:color="000000"/>
              <w:bottom w:val="single" w:sz="1" w:space="0" w:color="000000"/>
            </w:tcBorders>
          </w:tcPr>
          <w:p>
            <w:pPr>
              <w:spacing w:lineRule="auto"/>
            </w:pPr>
            <w:r>
              <w:rPr>
                <w:b/>
              </w:rPr>
              <w:t xml:space="preserve">Success Fee Rate</w:t>
            </w:r>
          </w:p>
        </w:tc>
        <w:tc>
          <w:tcPr>
            <w:tcBorders>
              <w:top w:val="single" w:sz="1" w:space="0" w:color="000000"/>
              <w:left w:val="single" w:sz="1" w:space="0" w:color="000000"/>
              <w:bottom w:val="single" w:sz="1" w:space="0" w:color="000000"/>
            </w:tcBorders>
          </w:tcPr>
          <w:p>
            <w:pPr>
              <w:spacing w:lineRule="auto"/>
            </w:pPr>
            <w:r>
              <w:rPr/>
              <w:t xml:space="preserve">2.0%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Midpoint of 1.5–2.5% range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1.5–2.5%</w:t>
            </w:r>
          </w:p>
        </w:tc>
      </w:tr>
      <w:tr>
        <w:trPr>
          <w:cantSplit/>
        </w:trPr>
        <w:tc>
          <w:tcPr>
            <w:tcBorders>
              <w:top w:val="single" w:sz="1" w:space="0" w:color="000000"/>
              <w:bottom w:val="single" w:sz="1" w:space="0" w:color="000000"/>
            </w:tcBorders>
          </w:tcPr>
          <w:p>
            <w:pPr>
              <w:spacing w:lineRule="auto"/>
            </w:pPr>
            <w:r>
              <w:rPr>
                <w:b/>
              </w:rPr>
              <w:t xml:space="preserve">Dealer SaaS/Year</w:t>
            </w:r>
          </w:p>
        </w:tc>
        <w:tc>
          <w:tcPr>
            <w:tcBorders>
              <w:top w:val="single" w:sz="1" w:space="0" w:color="000000"/>
              <w:left w:val="single" w:sz="1" w:space="0" w:color="000000"/>
              <w:bottom w:val="single" w:sz="1" w:space="0" w:color="000000"/>
            </w:tcBorders>
          </w:tcPr>
          <w:p>
            <w:pPr>
              <w:spacing w:lineRule="auto"/>
            </w:pPr>
            <w:r>
              <w:rPr/>
              <w:t xml:space="preserve">$7,200</w:t>
            </w:r>
          </w:p>
        </w:tc>
        <w:tc>
          <w:tcPr>
            <w:tcBorders>
              <w:top w:val="single" w:sz="1" w:space="0" w:color="000000"/>
              <w:left w:val="single" w:sz="1" w:space="0" w:color="000000"/>
              <w:bottom w:val="single" w:sz="1" w:space="0" w:color="000000"/>
            </w:tcBorders>
          </w:tcPr>
          <w:p>
            <w:pPr>
              <w:spacing w:lineRule="auto"/>
            </w:pPr>
            <w:r>
              <w:rPr/>
              <w:t xml:space="preserve">$600/month average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$300–$1,500</w:t>
            </w:r>
          </w:p>
        </w:tc>
      </w:tr>
      <w:tr>
        <w:trPr>
          <w:cantSplit/>
        </w:trPr>
        <w:tc>
          <w:tcPr>
            <w:tcBorders>
              <w:top w:val="single" w:sz="1" w:space="0" w:color="000000"/>
              <w:bottom w:val="single" w:sz="1" w:space="0" w:color="000000"/>
            </w:tcBorders>
          </w:tcPr>
          <w:p>
            <w:pPr>
              <w:spacing w:lineRule="auto"/>
            </w:pPr>
            <w:r>
              <w:rPr>
                <w:b/>
              </w:rPr>
              <w:t xml:space="preserve">CAC per Dealer</w:t>
            </w:r>
          </w:p>
        </w:tc>
        <w:tc>
          <w:tcPr>
            <w:tcBorders>
              <w:top w:val="single" w:sz="1" w:space="0" w:color="000000"/>
              <w:left w:val="single" w:sz="1" w:space="0" w:color="000000"/>
              <w:bottom w:val="single" w:sz="1" w:space="0" w:color="000000"/>
            </w:tcBorders>
          </w:tcPr>
          <w:p>
            <w:pPr>
              <w:spacing w:lineRule="auto"/>
            </w:pPr>
            <w:r>
              <w:rPr/>
              <w:t xml:space="preserve">$4,000</w:t>
            </w:r>
          </w:p>
        </w:tc>
        <w:tc>
          <w:tcPr>
            <w:tcBorders>
              <w:top w:val="single" w:sz="1" w:space="0" w:color="000000"/>
              <w:left w:val="single" w:sz="1" w:space="0" w:color="000000"/>
              <w:bottom w:val="single" w:sz="1" w:space="0" w:color="000000"/>
            </w:tcBorders>
          </w:tcPr>
          <w:p>
            <w:pPr>
              <w:spacing w:lineRule="auto"/>
            </w:pPr>
            <w:r>
              <w:rPr/>
              <w:t xml:space="preserve">Independent dealer acquisition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$2K–$8K</w:t>
            </w:r>
          </w:p>
        </w:tc>
      </w:tr>
      <w:tr>
        <w:trPr>
          <w:cantSplit/>
        </w:trPr>
        <w:tc>
          <w:tcPr>
            <w:tcBorders>
              <w:top w:val="single" w:sz="1" w:space="0" w:color="000000"/>
              <w:bottom w:val="single" w:sz="1" w:space="0" w:color="000000"/>
            </w:tcBorders>
          </w:tcPr>
          <w:p>
            <w:pPr>
              <w:spacing w:lineRule="auto"/>
            </w:pPr>
            <w:r>
              <w:rPr>
                <w:b/>
              </w:rPr>
              <w:t xml:space="preserve">Year 1 Gross Margin</w:t>
            </w:r>
          </w:p>
        </w:tc>
        <w:tc>
          <w:tcPr>
            <w:tcBorders>
              <w:top w:val="single" w:sz="1" w:space="0" w:color="000000"/>
              <w:left w:val="single" w:sz="1" w:space="0" w:color="000000"/>
              <w:bottom w:val="single" w:sz="1" w:space="0" w:color="000000"/>
            </w:tcBorders>
          </w:tcPr>
          <w:p>
            <w:pPr>
              <w:spacing w:lineRule="auto"/>
            </w:pPr>
            <w:r>
              <w:rPr/>
              <w:t xml:space="preserve">80%</w:t>
            </w:r>
          </w:p>
        </w:tc>
        <w:tc>
          <w:tcPr>
            <w:tcBorders>
              <w:top w:val="single" w:sz="1" w:space="0" w:color="000000"/>
              <w:left w:val="single" w:sz="1" w:space="0" w:color="000000"/>
              <w:bottom w:val="single" w:sz="1" w:space="0" w:color="000000"/>
            </w:tcBorders>
          </w:tcPr>
          <w:p>
            <w:pPr>
              <w:spacing w:lineRule="auto"/>
            </w:pPr>
            <w:r>
              <w:rPr/>
              <w:t xml:space="preserve">Heavy platform dev; lender integrations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75–85%</w:t>
            </w:r>
          </w:p>
        </w:tc>
      </w:tr>
      <w:tr>
        <w:trPr>
          <w:cantSplit/>
        </w:trPr>
        <w:tc>
          <w:tcPr>
            <w:tcBorders>
              <w:top w:val="single" w:sz="1" w:space="0" w:color="000000"/>
              <w:bottom w:val="single" w:sz="1" w:space="0" w:color="000000"/>
            </w:tcBorders>
          </w:tcPr>
          <w:p>
            <w:pPr>
              <w:spacing w:lineRule="auto"/>
            </w:pPr>
            <w:r>
              <w:rPr>
                <w:b/>
              </w:rPr>
              <w:t xml:space="preserve">Year 5 Gross Margin</w:t>
            </w:r>
          </w:p>
        </w:tc>
        <w:tc>
          <w:tcPr>
            <w:tcBorders>
              <w:top w:val="single" w:sz="1" w:space="0" w:color="000000"/>
              <w:left w:val="single" w:sz="1" w:space="0" w:color="000000"/>
              <w:bottom w:val="single" w:sz="1" w:space="0" w:color="000000"/>
            </w:tcBorders>
          </w:tcPr>
          <w:p>
            <w:pPr>
              <w:spacing w:lineRule="auto"/>
            </w:pPr>
            <w:r>
              <w:rPr/>
              <w:t xml:space="preserve">88%</w:t>
            </w:r>
          </w:p>
        </w:tc>
        <w:tc>
          <w:tcPr>
            <w:tcBorders>
              <w:top w:val="single" w:sz="1" w:space="0" w:color="000000"/>
              <w:left w:val="single" w:sz="1" w:space="0" w:color="000000"/>
              <w:bottom w:val="single" w:sz="1" w:space="0" w:color="000000"/>
            </w:tcBorders>
          </w:tcPr>
          <w:p>
            <w:pPr>
              <w:spacing w:lineRule="auto"/>
            </w:pPr>
            <w:r>
              <w:rPr/>
              <w:t xml:space="preserve">Software leverage; integration amortization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85–92%</w:t>
            </w:r>
          </w:p>
        </w:tc>
      </w:tr>
    </w:tbl>
    <w:p>
      <w:pPr>
        <w:spacing w:lineRule="auto"/>
      </w:pPr>
    </w:p>
    <w:p>
      <w:pPr>
        <w:spacing w:line="271" w:before="240" w:lineRule="auto"/>
      </w:pPr>
      <w:bookmarkStart w:id="85" w:name="dealer_projections"/>
      <w:r>
        <w:rPr>
          <w:b/>
          <w:sz w:val="33"/>
        </w:rPr>
        <w:t xml:space="preserve">Dealer Projections</w:t>
      </w:r>
      <w:bookmarkEnd w:id="8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Year</w:t>
            </w:r>
          </w:p>
        </w:tc>
        <w:tc>
          <w:tcPr>
            <w:tcBorders>
              <w:top w:val="single" w:sz="1" w:space="0" w:color="000000"/>
              <w:left w:val="single" w:sz="1" w:space="0" w:color="000000"/>
              <w:bottom w:val="single" w:sz="1" w:space="0" w:color="000000"/>
            </w:tcBorders>
          </w:tcPr>
          <w:p>
            <w:pPr>
              <w:spacing w:lineRule="auto"/>
            </w:pPr>
            <w:r>
              <w:rPr/>
              <w:t xml:space="preserve">Dealers Onboarded</w:t>
            </w:r>
          </w:p>
        </w:tc>
        <w:tc>
          <w:tcPr>
            <w:tcBorders>
              <w:top w:val="single" w:sz="1" w:space="0" w:color="000000"/>
              <w:left w:val="single" w:sz="1" w:space="0" w:color="000000"/>
              <w:bottom w:val="single" w:sz="1" w:space="0" w:color="000000"/>
            </w:tcBorders>
          </w:tcPr>
          <w:p>
            <w:pPr>
              <w:spacing w:lineRule="auto"/>
            </w:pPr>
            <w:r>
              <w:rPr/>
              <w:t xml:space="preserve">Total Active Dealers</w:t>
            </w:r>
          </w:p>
        </w:tc>
        <w:tc>
          <w:tcPr>
            <w:tcBorders>
              <w:top w:val="single" w:sz="1" w:space="0" w:color="000000"/>
              <w:left w:val="single" w:sz="1" w:space="0" w:color="000000"/>
              <w:bottom w:val="single" w:sz="1" w:space="0" w:color="000000"/>
            </w:tcBorders>
          </w:tcPr>
          <w:p>
            <w:pPr>
              <w:spacing w:lineRule="auto"/>
            </w:pPr>
            <w:r>
              <w:rPr/>
              <w:t xml:space="preserve">Growth Rate</w:t>
            </w:r>
          </w:p>
        </w:tc>
      </w:tr>
      <w:tr>
        <w:trPr>
          <w:cantSplit/>
        </w:trPr>
        <w:tc>
          <w:tcPr>
            <w:tcBorders>
              <w:top w:val="single" w:sz="1" w:space="0" w:color="000000"/>
              <w:bottom w:val="single" w:sz="1" w:space="0" w:color="000000"/>
            </w:tcBorders>
          </w:tcPr>
          <w:p>
            <w:pPr>
              <w:spacing w:lineRule="auto"/>
            </w:pPr>
            <w:r>
              <w:rPr>
                <w:b/>
              </w:rPr>
              <w:t xml:space="preserve">Year 1</w:t>
            </w:r>
          </w:p>
        </w:tc>
        <w:tc>
          <w:tcPr>
            <w:tcBorders>
              <w:top w:val="single" w:sz="1" w:space="0" w:color="000000"/>
              <w:left w:val="single" w:sz="1" w:space="0" w:color="000000"/>
              <w:bottom w:val="single" w:sz="1" w:space="0" w:color="000000"/>
            </w:tcBorders>
          </w:tcPr>
          <w:p>
            <w:pPr>
              <w:spacing w:lineRule="auto"/>
            </w:pPr>
            <w:r>
              <w:rPr/>
              <w:t xml:space="preserve">40</w:t>
            </w:r>
          </w:p>
        </w:tc>
        <w:tc>
          <w:tcPr>
            <w:tcBorders>
              <w:top w:val="single" w:sz="1" w:space="0" w:color="000000"/>
              <w:left w:val="single" w:sz="1" w:space="0" w:color="000000"/>
              <w:bottom w:val="single" w:sz="1" w:space="0" w:color="000000"/>
            </w:tcBorders>
          </w:tcPr>
          <w:p>
            <w:pPr>
              <w:spacing w:lineRule="auto"/>
            </w:pPr>
            <w:r>
              <w:rPr/>
              <w:t xml:space="preserve">40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r>
      <w:tr>
        <w:trPr>
          <w:cantSplit/>
        </w:trPr>
        <w:tc>
          <w:tcPr>
            <w:tcBorders>
              <w:top w:val="single" w:sz="1" w:space="0" w:color="000000"/>
              <w:bottom w:val="single" w:sz="1" w:space="0" w:color="000000"/>
            </w:tcBorders>
          </w:tcPr>
          <w:p>
            <w:pPr>
              <w:spacing w:lineRule="auto"/>
            </w:pPr>
            <w:r>
              <w:rPr>
                <w:b/>
              </w:rPr>
              <w:t xml:space="preserve">Year 2</w:t>
            </w:r>
          </w:p>
        </w:tc>
        <w:tc>
          <w:tcPr>
            <w:tcBorders>
              <w:top w:val="single" w:sz="1" w:space="0" w:color="000000"/>
              <w:left w:val="single" w:sz="1" w:space="0" w:color="000000"/>
              <w:bottom w:val="single" w:sz="1" w:space="0" w:color="000000"/>
            </w:tcBorders>
          </w:tcPr>
          <w:p>
            <w:pPr>
              <w:spacing w:lineRule="auto"/>
            </w:pPr>
            <w:r>
              <w:rPr/>
              <w:t xml:space="preserve">100</w:t>
            </w:r>
          </w:p>
        </w:tc>
        <w:tc>
          <w:tcPr>
            <w:tcBorders>
              <w:top w:val="single" w:sz="1" w:space="0" w:color="000000"/>
              <w:left w:val="single" w:sz="1" w:space="0" w:color="000000"/>
              <w:bottom w:val="single" w:sz="1" w:space="0" w:color="000000"/>
            </w:tcBorders>
          </w:tcPr>
          <w:p>
            <w:pPr>
              <w:spacing w:lineRule="auto"/>
            </w:pPr>
            <w:r>
              <w:rPr/>
              <w:t xml:space="preserve">130</w:t>
            </w:r>
          </w:p>
        </w:tc>
        <w:tc>
          <w:tcPr>
            <w:tcBorders>
              <w:top w:val="single" w:sz="1" w:space="0" w:color="000000"/>
              <w:left w:val="single" w:sz="1" w:space="0" w:color="000000"/>
              <w:bottom w:val="single" w:sz="1" w:space="0" w:color="000000"/>
            </w:tcBorders>
          </w:tcPr>
          <w:p>
            <w:pPr>
              <w:spacing w:lineRule="auto"/>
            </w:pPr>
            <w:r>
              <w:rPr/>
              <w:t xml:space="preserve">225%</w:t>
            </w:r>
          </w:p>
        </w:tc>
      </w:tr>
      <w:tr>
        <w:trPr>
          <w:cantSplit/>
        </w:trPr>
        <w:tc>
          <w:tcPr>
            <w:tcBorders>
              <w:top w:val="single" w:sz="1" w:space="0" w:color="000000"/>
              <w:bottom w:val="single" w:sz="1" w:space="0" w:color="000000"/>
            </w:tcBorders>
          </w:tcPr>
          <w:p>
            <w:pPr>
              <w:spacing w:lineRule="auto"/>
            </w:pPr>
            <w:r>
              <w:rPr>
                <w:b/>
              </w:rPr>
              <w:t xml:space="preserve">Year 3</w:t>
            </w:r>
          </w:p>
        </w:tc>
        <w:tc>
          <w:tcPr>
            <w:tcBorders>
              <w:top w:val="single" w:sz="1" w:space="0" w:color="000000"/>
              <w:left w:val="single" w:sz="1" w:space="0" w:color="000000"/>
              <w:bottom w:val="single" w:sz="1" w:space="0" w:color="000000"/>
            </w:tcBorders>
          </w:tcPr>
          <w:p>
            <w:pPr>
              <w:spacing w:lineRule="auto"/>
            </w:pPr>
            <w:r>
              <w:rPr/>
              <w:t xml:space="preserve">220</w:t>
            </w:r>
          </w:p>
        </w:tc>
        <w:tc>
          <w:tcPr>
            <w:tcBorders>
              <w:top w:val="single" w:sz="1" w:space="0" w:color="000000"/>
              <w:left w:val="single" w:sz="1" w:space="0" w:color="000000"/>
              <w:bottom w:val="single" w:sz="1" w:space="0" w:color="000000"/>
            </w:tcBorders>
          </w:tcPr>
          <w:p>
            <w:pPr>
              <w:spacing w:lineRule="auto"/>
            </w:pPr>
            <w:r>
              <w:rPr/>
              <w:t xml:space="preserve">330</w:t>
            </w:r>
          </w:p>
        </w:tc>
        <w:tc>
          <w:tcPr>
            <w:tcBorders>
              <w:top w:val="single" w:sz="1" w:space="0" w:color="000000"/>
              <w:left w:val="single" w:sz="1" w:space="0" w:color="000000"/>
              <w:bottom w:val="single" w:sz="1" w:space="0" w:color="000000"/>
            </w:tcBorders>
          </w:tcPr>
          <w:p>
            <w:pPr>
              <w:spacing w:lineRule="auto"/>
            </w:pPr>
            <w:r>
              <w:rPr/>
              <w:t xml:space="preserve">154%</w:t>
            </w:r>
          </w:p>
        </w:tc>
      </w:tr>
      <w:tr>
        <w:trPr>
          <w:cantSplit/>
        </w:trPr>
        <w:tc>
          <w:tcPr>
            <w:tcBorders>
              <w:top w:val="single" w:sz="1" w:space="0" w:color="000000"/>
              <w:bottom w:val="single" w:sz="1" w:space="0" w:color="000000"/>
            </w:tcBorders>
          </w:tcPr>
          <w:p>
            <w:pPr>
              <w:spacing w:lineRule="auto"/>
            </w:pPr>
            <w:r>
              <w:rPr>
                <w:b/>
              </w:rPr>
              <w:t xml:space="preserve">Year 4</w:t>
            </w:r>
          </w:p>
        </w:tc>
        <w:tc>
          <w:tcPr>
            <w:tcBorders>
              <w:top w:val="single" w:sz="1" w:space="0" w:color="000000"/>
              <w:left w:val="single" w:sz="1" w:space="0" w:color="000000"/>
              <w:bottom w:val="single" w:sz="1" w:space="0" w:color="000000"/>
            </w:tcBorders>
          </w:tcPr>
          <w:p>
            <w:pPr>
              <w:spacing w:lineRule="auto"/>
            </w:pPr>
            <w:r>
              <w:rPr/>
              <w:t xml:space="preserve">370</w:t>
            </w:r>
          </w:p>
        </w:tc>
        <w:tc>
          <w:tcPr>
            <w:tcBorders>
              <w:top w:val="single" w:sz="1" w:space="0" w:color="000000"/>
              <w:left w:val="single" w:sz="1" w:space="0" w:color="000000"/>
              <w:bottom w:val="single" w:sz="1" w:space="0" w:color="000000"/>
            </w:tcBorders>
          </w:tcPr>
          <w:p>
            <w:pPr>
              <w:spacing w:lineRule="auto"/>
            </w:pPr>
            <w:r>
              <w:rPr/>
              <w:t xml:space="preserve">650</w:t>
            </w:r>
          </w:p>
        </w:tc>
        <w:tc>
          <w:tcPr>
            <w:tcBorders>
              <w:top w:val="single" w:sz="1" w:space="0" w:color="000000"/>
              <w:left w:val="single" w:sz="1" w:space="0" w:color="000000"/>
              <w:bottom w:val="single" w:sz="1" w:space="0" w:color="000000"/>
            </w:tcBorders>
          </w:tcPr>
          <w:p>
            <w:pPr>
              <w:spacing w:lineRule="auto"/>
            </w:pPr>
            <w:r>
              <w:rPr/>
              <w:t xml:space="preserve">97%</w:t>
            </w:r>
          </w:p>
        </w:tc>
      </w:tr>
      <w:tr>
        <w:trPr>
          <w:cantSplit/>
        </w:trPr>
        <w:tc>
          <w:tcPr>
            <w:tcBorders>
              <w:top w:val="single" w:sz="1" w:space="0" w:color="000000"/>
              <w:bottom w:val="single" w:sz="1" w:space="0" w:color="000000"/>
            </w:tcBorders>
          </w:tcPr>
          <w:p>
            <w:pPr>
              <w:spacing w:lineRule="auto"/>
            </w:pPr>
            <w:r>
              <w:rPr>
                <w:b/>
              </w:rPr>
              <w:t xml:space="preserve">Year 5</w:t>
            </w:r>
          </w:p>
        </w:tc>
        <w:tc>
          <w:tcPr>
            <w:tcBorders>
              <w:top w:val="single" w:sz="1" w:space="0" w:color="000000"/>
              <w:left w:val="single" w:sz="1" w:space="0" w:color="000000"/>
              <w:bottom w:val="single" w:sz="1" w:space="0" w:color="000000"/>
            </w:tcBorders>
          </w:tcPr>
          <w:p>
            <w:pPr>
              <w:spacing w:lineRule="auto"/>
            </w:pPr>
            <w:r>
              <w:rPr/>
              <w:t xml:space="preserve">550</w:t>
            </w:r>
          </w:p>
        </w:tc>
        <w:tc>
          <w:tcPr>
            <w:tcBorders>
              <w:top w:val="single" w:sz="1" w:space="0" w:color="000000"/>
              <w:left w:val="single" w:sz="1" w:space="0" w:color="000000"/>
              <w:bottom w:val="single" w:sz="1" w:space="0" w:color="000000"/>
            </w:tcBorders>
          </w:tcPr>
          <w:p>
            <w:pPr>
              <w:spacing w:lineRule="auto"/>
            </w:pPr>
            <w:r>
              <w:rPr/>
              <w:t xml:space="preserve">1,200</w:t>
            </w:r>
          </w:p>
        </w:tc>
        <w:tc>
          <w:tcPr>
            <w:tcBorders>
              <w:top w:val="single" w:sz="1" w:space="0" w:color="000000"/>
              <w:left w:val="single" w:sz="1" w:space="0" w:color="000000"/>
              <w:bottom w:val="single" w:sz="1" w:space="0" w:color="000000"/>
            </w:tcBorders>
          </w:tcPr>
          <w:p>
            <w:pPr>
              <w:spacing w:lineRule="auto"/>
            </w:pPr>
            <w:r>
              <w:rPr/>
              <w:t xml:space="preserve">85%</w:t>
            </w:r>
          </w:p>
        </w:tc>
      </w:tr>
    </w:tbl>
    <w:p>
      <w:pPr>
        <w:spacing w:lineRule="auto"/>
      </w:pPr>
    </w:p>
    <w:p>
      <w:pPr>
        <w:spacing w:after="210" w:lineRule="auto"/>
      </w:pPr>
      <w:r>
        <w:rPr>
          <w:i/>
        </w:rPr>
        <w:t xml:space="preserve">Churn assumption: 5% annual (extremely low, reflects DMS-like stickiness)</w:t>
      </w:r>
    </w:p>
    <w:p>
      <w:pPr>
        <w:spacing w:line="271" w:before="240" w:lineRule="auto"/>
      </w:pPr>
      <w:bookmarkStart w:id="86" w:name="revenue_forecast_base_case"/>
      <w:r>
        <w:rPr>
          <w:b/>
          <w:sz w:val="33"/>
        </w:rPr>
        <w:t xml:space="preserve">Revenue Forecast (Base Case)</w:t>
      </w:r>
      <w:bookmarkEnd w:id="8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Year 1</w:t>
            </w:r>
          </w:p>
        </w:tc>
        <w:tc>
          <w:tcPr>
            <w:tcBorders>
              <w:top w:val="single" w:sz="1" w:space="0" w:color="000000"/>
              <w:left w:val="single" w:sz="1" w:space="0" w:color="000000"/>
              <w:bottom w:val="single" w:sz="1" w:space="0" w:color="000000"/>
            </w:tcBorders>
          </w:tcPr>
          <w:p>
            <w:pPr>
              <w:spacing w:lineRule="auto"/>
            </w:pPr>
            <w:r>
              <w:rPr/>
              <w:t xml:space="preserve">Year 2</w:t>
            </w:r>
          </w:p>
        </w:tc>
        <w:tc>
          <w:tcPr>
            <w:tcBorders>
              <w:top w:val="single" w:sz="1" w:space="0" w:color="000000"/>
              <w:left w:val="single" w:sz="1" w:space="0" w:color="000000"/>
              <w:bottom w:val="single" w:sz="1" w:space="0" w:color="000000"/>
            </w:tcBorders>
          </w:tcPr>
          <w:p>
            <w:pPr>
              <w:spacing w:lineRule="auto"/>
            </w:pPr>
            <w:r>
              <w:rPr/>
              <w:t xml:space="preserve">Year 3</w:t>
            </w:r>
          </w:p>
        </w:tc>
        <w:tc>
          <w:tcPr>
            <w:tcBorders>
              <w:top w:val="single" w:sz="1" w:space="0" w:color="000000"/>
              <w:left w:val="single" w:sz="1" w:space="0" w:color="000000"/>
              <w:bottom w:val="single" w:sz="1" w:space="0" w:color="000000"/>
            </w:tcBorders>
          </w:tcPr>
          <w:p>
            <w:pPr>
              <w:spacing w:lineRule="auto"/>
            </w:pPr>
            <w:r>
              <w:rPr/>
              <w:t xml:space="preserve">Year 4</w:t>
            </w:r>
          </w:p>
        </w:tc>
        <w:tc>
          <w:tcPr>
            <w:tcBorders>
              <w:top w:val="single" w:sz="1" w:space="0" w:color="000000"/>
              <w:left w:val="single" w:sz="1" w:space="0" w:color="000000"/>
              <w:bottom w:val="single" w:sz="1" w:space="0" w:color="000000"/>
            </w:tcBorders>
          </w:tcPr>
          <w:p>
            <w:pPr>
              <w:spacing w:lineRule="auto"/>
            </w:pPr>
            <w:r>
              <w:rPr/>
              <w:t xml:space="preserve">Year 5</w:t>
            </w:r>
          </w:p>
        </w:tc>
      </w:tr>
      <w:tr>
        <w:trPr>
          <w:cantSplit/>
        </w:trPr>
        <w:tc>
          <w:tcPr>
            <w:tcBorders>
              <w:top w:val="single" w:sz="1" w:space="0" w:color="000000"/>
              <w:bottom w:val="single" w:sz="1" w:space="0" w:color="000000"/>
            </w:tcBorders>
          </w:tcPr>
          <w:p>
            <w:pPr>
              <w:spacing w:lineRule="auto"/>
            </w:pPr>
            <w:r>
              <w:rPr>
                <w:b/>
              </w:rPr>
              <w:t xml:space="preserve">Active Dealers</w:t>
            </w:r>
          </w:p>
        </w:tc>
        <w:tc>
          <w:tcPr>
            <w:tcBorders>
              <w:top w:val="single" w:sz="1" w:space="0" w:color="000000"/>
              <w:left w:val="single" w:sz="1" w:space="0" w:color="000000"/>
              <w:bottom w:val="single" w:sz="1" w:space="0" w:color="000000"/>
            </w:tcBorders>
          </w:tcPr>
          <w:p>
            <w:pPr>
              <w:spacing w:lineRule="auto"/>
            </w:pPr>
            <w:r>
              <w:rPr/>
              <w:t xml:space="preserve">40</w:t>
            </w:r>
          </w:p>
        </w:tc>
        <w:tc>
          <w:tcPr>
            <w:tcBorders>
              <w:top w:val="single" w:sz="1" w:space="0" w:color="000000"/>
              <w:left w:val="single" w:sz="1" w:space="0" w:color="000000"/>
              <w:bottom w:val="single" w:sz="1" w:space="0" w:color="000000"/>
            </w:tcBorders>
          </w:tcPr>
          <w:p>
            <w:pPr>
              <w:spacing w:lineRule="auto"/>
            </w:pPr>
            <w:r>
              <w:rPr/>
              <w:t xml:space="preserve">130</w:t>
            </w:r>
          </w:p>
        </w:tc>
        <w:tc>
          <w:tcPr>
            <w:tcBorders>
              <w:top w:val="single" w:sz="1" w:space="0" w:color="000000"/>
              <w:left w:val="single" w:sz="1" w:space="0" w:color="000000"/>
              <w:bottom w:val="single" w:sz="1" w:space="0" w:color="000000"/>
            </w:tcBorders>
          </w:tcPr>
          <w:p>
            <w:pPr>
              <w:spacing w:lineRule="auto"/>
            </w:pPr>
            <w:r>
              <w:rPr/>
              <w:t xml:space="preserve">330</w:t>
            </w:r>
          </w:p>
        </w:tc>
        <w:tc>
          <w:tcPr>
            <w:tcBorders>
              <w:top w:val="single" w:sz="1" w:space="0" w:color="000000"/>
              <w:left w:val="single" w:sz="1" w:space="0" w:color="000000"/>
              <w:bottom w:val="single" w:sz="1" w:space="0" w:color="000000"/>
            </w:tcBorders>
          </w:tcPr>
          <w:p>
            <w:pPr>
              <w:spacing w:lineRule="auto"/>
            </w:pPr>
            <w:r>
              <w:rPr/>
              <w:t xml:space="preserve">650</w:t>
            </w:r>
          </w:p>
        </w:tc>
        <w:tc>
          <w:tcPr>
            <w:tcBorders>
              <w:top w:val="single" w:sz="1" w:space="0" w:color="000000"/>
              <w:left w:val="single" w:sz="1" w:space="0" w:color="000000"/>
              <w:bottom w:val="single" w:sz="1" w:space="0" w:color="000000"/>
            </w:tcBorders>
          </w:tcPr>
          <w:p>
            <w:pPr>
              <w:spacing w:lineRule="auto"/>
            </w:pPr>
            <w:r>
              <w:rPr/>
              <w:t xml:space="preserve">1,200</w:t>
            </w:r>
          </w:p>
        </w:tc>
      </w:tr>
      <w:tr>
        <w:trPr>
          <w:cantSplit/>
        </w:trPr>
        <w:tc>
          <w:tcPr>
            <w:tcBorders>
              <w:top w:val="single" w:sz="1" w:space="0" w:color="000000"/>
              <w:bottom w:val="single" w:sz="1" w:space="0" w:color="000000"/>
            </w:tcBorders>
          </w:tcPr>
          <w:p>
            <w:pPr>
              <w:spacing w:lineRule="auto"/>
            </w:pPr>
            <w:r>
              <w:rPr>
                <w:b/>
              </w:rPr>
              <w:t xml:space="preserve">Funded Loans</w:t>
            </w:r>
          </w:p>
        </w:tc>
        <w:tc>
          <w:tcPr>
            <w:tcBorders>
              <w:top w:val="single" w:sz="1" w:space="0" w:color="000000"/>
              <w:left w:val="single" w:sz="1" w:space="0" w:color="000000"/>
              <w:bottom w:val="single" w:sz="1" w:space="0" w:color="000000"/>
            </w:tcBorders>
          </w:tcPr>
          <w:p>
            <w:pPr>
              <w:spacing w:lineRule="auto"/>
            </w:pPr>
            <w:r>
              <w:rPr/>
              <w:t xml:space="preserve">2,000</w:t>
            </w:r>
          </w:p>
        </w:tc>
        <w:tc>
          <w:tcPr>
            <w:tcBorders>
              <w:top w:val="single" w:sz="1" w:space="0" w:color="000000"/>
              <w:left w:val="single" w:sz="1" w:space="0" w:color="000000"/>
              <w:bottom w:val="single" w:sz="1" w:space="0" w:color="000000"/>
            </w:tcBorders>
          </w:tcPr>
          <w:p>
            <w:pPr>
              <w:spacing w:lineRule="auto"/>
            </w:pPr>
            <w:r>
              <w:rPr/>
              <w:t xml:space="preserve">6,500</w:t>
            </w:r>
          </w:p>
        </w:tc>
        <w:tc>
          <w:tcPr>
            <w:tcBorders>
              <w:top w:val="single" w:sz="1" w:space="0" w:color="000000"/>
              <w:left w:val="single" w:sz="1" w:space="0" w:color="000000"/>
              <w:bottom w:val="single" w:sz="1" w:space="0" w:color="000000"/>
            </w:tcBorders>
          </w:tcPr>
          <w:p>
            <w:pPr>
              <w:spacing w:lineRule="auto"/>
            </w:pPr>
            <w:r>
              <w:rPr/>
              <w:t xml:space="preserve">16,500</w:t>
            </w:r>
          </w:p>
        </w:tc>
        <w:tc>
          <w:tcPr>
            <w:tcBorders>
              <w:top w:val="single" w:sz="1" w:space="0" w:color="000000"/>
              <w:left w:val="single" w:sz="1" w:space="0" w:color="000000"/>
              <w:bottom w:val="single" w:sz="1" w:space="0" w:color="000000"/>
            </w:tcBorders>
          </w:tcPr>
          <w:p>
            <w:pPr>
              <w:spacing w:lineRule="auto"/>
            </w:pPr>
            <w:r>
              <w:rPr/>
              <w:t xml:space="preserve">32,500</w:t>
            </w:r>
          </w:p>
        </w:tc>
        <w:tc>
          <w:tcPr>
            <w:tcBorders>
              <w:top w:val="single" w:sz="1" w:space="0" w:color="000000"/>
              <w:left w:val="single" w:sz="1" w:space="0" w:color="000000"/>
              <w:bottom w:val="single" w:sz="1" w:space="0" w:color="000000"/>
            </w:tcBorders>
          </w:tcPr>
          <w:p>
            <w:pPr>
              <w:spacing w:lineRule="auto"/>
            </w:pPr>
            <w:r>
              <w:rPr/>
              <w:t xml:space="preserve">60,000</w:t>
            </w:r>
          </w:p>
        </w:tc>
      </w:tr>
      <w:tr>
        <w:trPr>
          <w:cantSplit/>
        </w:trPr>
        <w:tc>
          <w:tcPr>
            <w:tcBorders>
              <w:top w:val="single" w:sz="1" w:space="0" w:color="000000"/>
              <w:bottom w:val="single" w:sz="1" w:space="0" w:color="000000"/>
            </w:tcBorders>
          </w:tcPr>
          <w:p>
            <w:pPr>
              <w:spacing w:lineRule="auto"/>
            </w:pPr>
            <w:r>
              <w:rPr>
                <w:b/>
              </w:rPr>
              <w:t xml:space="preserve">Funded Volume</w:t>
            </w:r>
          </w:p>
        </w:tc>
        <w:tc>
          <w:tcPr>
            <w:tcBorders>
              <w:top w:val="single" w:sz="1" w:space="0" w:color="000000"/>
              <w:left w:val="single" w:sz="1" w:space="0" w:color="000000"/>
              <w:bottom w:val="single" w:sz="1" w:space="0" w:color="000000"/>
            </w:tcBorders>
          </w:tcPr>
          <w:p>
            <w:pPr>
              <w:spacing w:lineRule="auto"/>
            </w:pPr>
            <w:r>
              <w:rPr/>
              <w:t xml:space="preserve">$160M</w:t>
            </w:r>
          </w:p>
        </w:tc>
        <w:tc>
          <w:tcPr>
            <w:tcBorders>
              <w:top w:val="single" w:sz="1" w:space="0" w:color="000000"/>
              <w:left w:val="single" w:sz="1" w:space="0" w:color="000000"/>
              <w:bottom w:val="single" w:sz="1" w:space="0" w:color="000000"/>
            </w:tcBorders>
          </w:tcPr>
          <w:p>
            <w:pPr>
              <w:spacing w:lineRule="auto"/>
            </w:pPr>
            <w:r>
              <w:rPr/>
              <w:t xml:space="preserve">$520M</w:t>
            </w:r>
          </w:p>
        </w:tc>
        <w:tc>
          <w:tcPr>
            <w:tcBorders>
              <w:top w:val="single" w:sz="1" w:space="0" w:color="000000"/>
              <w:left w:val="single" w:sz="1" w:space="0" w:color="000000"/>
              <w:bottom w:val="single" w:sz="1" w:space="0" w:color="000000"/>
            </w:tcBorders>
          </w:tcPr>
          <w:p>
            <w:pPr>
              <w:spacing w:lineRule="auto"/>
            </w:pPr>
            <w:r>
              <w:rPr/>
              <w:t xml:space="preserve">$1.3B</w:t>
            </w:r>
          </w:p>
        </w:tc>
        <w:tc>
          <w:tcPr>
            <w:tcBorders>
              <w:top w:val="single" w:sz="1" w:space="0" w:color="000000"/>
              <w:left w:val="single" w:sz="1" w:space="0" w:color="000000"/>
              <w:bottom w:val="single" w:sz="1" w:space="0" w:color="000000"/>
            </w:tcBorders>
          </w:tcPr>
          <w:p>
            <w:pPr>
              <w:spacing w:lineRule="auto"/>
            </w:pPr>
            <w:r>
              <w:rPr/>
              <w:t xml:space="preserve">$2.6B</w:t>
            </w:r>
          </w:p>
        </w:tc>
        <w:tc>
          <w:tcPr>
            <w:tcBorders>
              <w:top w:val="single" w:sz="1" w:space="0" w:color="000000"/>
              <w:left w:val="single" w:sz="1" w:space="0" w:color="000000"/>
              <w:bottom w:val="single" w:sz="1" w:space="0" w:color="000000"/>
            </w:tcBorders>
          </w:tcPr>
          <w:p>
            <w:pPr>
              <w:spacing w:lineRule="auto"/>
            </w:pPr>
            <w:r>
              <w:rPr/>
              <w:t xml:space="preserve">$4.8B</w:t>
            </w:r>
          </w:p>
        </w:tc>
      </w:tr>
      <w:tr>
        <w:trPr>
          <w:cantSplit/>
        </w:trPr>
        <w:tc>
          <w:tcPr>
            <w:tcBorders>
              <w:top w:val="single" w:sz="1" w:space="0" w:color="000000"/>
              <w:bottom w:val="single" w:sz="1" w:space="0" w:color="000000"/>
            </w:tcBorders>
          </w:tcPr>
          <w:p>
            <w:pPr>
              <w:spacing w:lineRule="auto"/>
            </w:pPr>
            <w:r>
              <w:rPr>
                <w:b/>
              </w:rPr>
              <w:t xml:space="preserve">Success Fee Revenue (2%)</w:t>
            </w:r>
          </w:p>
        </w:tc>
        <w:tc>
          <w:tcPr>
            <w:tcBorders>
              <w:top w:val="single" w:sz="1" w:space="0" w:color="000000"/>
              <w:left w:val="single" w:sz="1" w:space="0" w:color="000000"/>
              <w:bottom w:val="single" w:sz="1" w:space="0" w:color="000000"/>
            </w:tcBorders>
          </w:tcPr>
          <w:p>
            <w:pPr>
              <w:spacing w:lineRule="auto"/>
            </w:pPr>
            <w:r>
              <w:rPr/>
              <w:t xml:space="preserve">$3.2M</w:t>
            </w:r>
          </w:p>
        </w:tc>
        <w:tc>
          <w:tcPr>
            <w:tcBorders>
              <w:top w:val="single" w:sz="1" w:space="0" w:color="000000"/>
              <w:left w:val="single" w:sz="1" w:space="0" w:color="000000"/>
              <w:bottom w:val="single" w:sz="1" w:space="0" w:color="000000"/>
            </w:tcBorders>
          </w:tcPr>
          <w:p>
            <w:pPr>
              <w:spacing w:lineRule="auto"/>
            </w:pPr>
            <w:r>
              <w:rPr/>
              <w:t xml:space="preserve">$10.4M</w:t>
            </w:r>
          </w:p>
        </w:tc>
        <w:tc>
          <w:tcPr>
            <w:tcBorders>
              <w:top w:val="single" w:sz="1" w:space="0" w:color="000000"/>
              <w:left w:val="single" w:sz="1" w:space="0" w:color="000000"/>
              <w:bottom w:val="single" w:sz="1" w:space="0" w:color="000000"/>
            </w:tcBorders>
          </w:tcPr>
          <w:p>
            <w:pPr>
              <w:spacing w:lineRule="auto"/>
            </w:pPr>
            <w:r>
              <w:rPr/>
              <w:t xml:space="preserve">$26.0M</w:t>
            </w:r>
          </w:p>
        </w:tc>
        <w:tc>
          <w:tcPr>
            <w:tcBorders>
              <w:top w:val="single" w:sz="1" w:space="0" w:color="000000"/>
              <w:left w:val="single" w:sz="1" w:space="0" w:color="000000"/>
              <w:bottom w:val="single" w:sz="1" w:space="0" w:color="000000"/>
            </w:tcBorders>
          </w:tcPr>
          <w:p>
            <w:pPr>
              <w:spacing w:lineRule="auto"/>
            </w:pPr>
            <w:r>
              <w:rPr/>
              <w:t xml:space="preserve">$52.0M</w:t>
            </w:r>
          </w:p>
        </w:tc>
        <w:tc>
          <w:tcPr>
            <w:tcBorders>
              <w:top w:val="single" w:sz="1" w:space="0" w:color="000000"/>
              <w:left w:val="single" w:sz="1" w:space="0" w:color="000000"/>
              <w:bottom w:val="single" w:sz="1" w:space="0" w:color="000000"/>
            </w:tcBorders>
          </w:tcPr>
          <w:p>
            <w:pPr>
              <w:spacing w:lineRule="auto"/>
            </w:pPr>
            <w:r>
              <w:rPr/>
              <w:t xml:space="preserve">$96.0M</w:t>
            </w:r>
          </w:p>
        </w:tc>
      </w:tr>
      <w:tr>
        <w:trPr>
          <w:cantSplit/>
        </w:trPr>
        <w:tc>
          <w:tcPr>
            <w:tcBorders>
              <w:top w:val="single" w:sz="1" w:space="0" w:color="000000"/>
              <w:bottom w:val="single" w:sz="1" w:space="0" w:color="000000"/>
            </w:tcBorders>
          </w:tcPr>
          <w:p>
            <w:pPr>
              <w:spacing w:lineRule="auto"/>
            </w:pPr>
            <w:r>
              <w:rPr>
                <w:b/>
              </w:rPr>
              <w:t xml:space="preserve">SaaS Revenue</w:t>
            </w:r>
          </w:p>
        </w:tc>
        <w:tc>
          <w:tcPr>
            <w:tcBorders>
              <w:top w:val="single" w:sz="1" w:space="0" w:color="000000"/>
              <w:left w:val="single" w:sz="1" w:space="0" w:color="000000"/>
              <w:bottom w:val="single" w:sz="1" w:space="0" w:color="000000"/>
            </w:tcBorders>
          </w:tcPr>
          <w:p>
            <w:pPr>
              <w:spacing w:lineRule="auto"/>
            </w:pPr>
            <w:r>
              <w:rPr/>
              <w:t xml:space="preserve">$0.3M</w:t>
            </w:r>
          </w:p>
        </w:tc>
        <w:tc>
          <w:tcPr>
            <w:tcBorders>
              <w:top w:val="single" w:sz="1" w:space="0" w:color="000000"/>
              <w:left w:val="single" w:sz="1" w:space="0" w:color="000000"/>
              <w:bottom w:val="single" w:sz="1" w:space="0" w:color="000000"/>
            </w:tcBorders>
          </w:tcPr>
          <w:p>
            <w:pPr>
              <w:spacing w:lineRule="auto"/>
            </w:pPr>
            <w:r>
              <w:rPr/>
              <w:t xml:space="preserve">$0.9M</w:t>
            </w:r>
          </w:p>
        </w:tc>
        <w:tc>
          <w:tcPr>
            <w:tcBorders>
              <w:top w:val="single" w:sz="1" w:space="0" w:color="000000"/>
              <w:left w:val="single" w:sz="1" w:space="0" w:color="000000"/>
              <w:bottom w:val="single" w:sz="1" w:space="0" w:color="000000"/>
            </w:tcBorders>
          </w:tcPr>
          <w:p>
            <w:pPr>
              <w:spacing w:lineRule="auto"/>
            </w:pPr>
            <w:r>
              <w:rPr/>
              <w:t xml:space="preserve">$2.4M</w:t>
            </w:r>
          </w:p>
        </w:tc>
        <w:tc>
          <w:tcPr>
            <w:tcBorders>
              <w:top w:val="single" w:sz="1" w:space="0" w:color="000000"/>
              <w:left w:val="single" w:sz="1" w:space="0" w:color="000000"/>
              <w:bottom w:val="single" w:sz="1" w:space="0" w:color="000000"/>
            </w:tcBorders>
          </w:tcPr>
          <w:p>
            <w:pPr>
              <w:spacing w:lineRule="auto"/>
            </w:pPr>
            <w:r>
              <w:rPr/>
              <w:t xml:space="preserve">$4.7M</w:t>
            </w:r>
          </w:p>
        </w:tc>
        <w:tc>
          <w:tcPr>
            <w:tcBorders>
              <w:top w:val="single" w:sz="1" w:space="0" w:color="000000"/>
              <w:left w:val="single" w:sz="1" w:space="0" w:color="000000"/>
              <w:bottom w:val="single" w:sz="1" w:space="0" w:color="000000"/>
            </w:tcBorders>
          </w:tcPr>
          <w:p>
            <w:pPr>
              <w:spacing w:lineRule="auto"/>
            </w:pPr>
            <w:r>
              <w:rPr/>
              <w:t xml:space="preserve">$8.6M</w:t>
            </w:r>
          </w:p>
        </w:tc>
      </w:tr>
      <w:tr>
        <w:trPr>
          <w:cantSplit/>
        </w:trPr>
        <w:tc>
          <w:tcPr>
            <w:tcBorders>
              <w:top w:val="single" w:sz="1" w:space="0" w:color="000000"/>
              <w:bottom w:val="single" w:sz="1" w:space="0" w:color="000000"/>
            </w:tcBorders>
          </w:tcPr>
          <w:p>
            <w:pPr>
              <w:spacing w:lineRule="auto"/>
            </w:pPr>
            <w:r>
              <w:rPr>
                <w:b/>
              </w:rPr>
              <w:t xml:space="preserve">Analytics/Data Revenue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$0.1M</w:t>
            </w:r>
          </w:p>
        </w:tc>
        <w:tc>
          <w:tcPr>
            <w:tcBorders>
              <w:top w:val="single" w:sz="1" w:space="0" w:color="000000"/>
              <w:left w:val="single" w:sz="1" w:space="0" w:color="000000"/>
              <w:bottom w:val="single" w:sz="1" w:space="0" w:color="000000"/>
            </w:tcBorders>
          </w:tcPr>
          <w:p>
            <w:pPr>
              <w:spacing w:lineRule="auto"/>
            </w:pPr>
            <w:r>
              <w:rPr/>
              <w:t xml:space="preserve">$0.5M</w:t>
            </w:r>
          </w:p>
        </w:tc>
        <w:tc>
          <w:tcPr>
            <w:tcBorders>
              <w:top w:val="single" w:sz="1" w:space="0" w:color="000000"/>
              <w:left w:val="single" w:sz="1" w:space="0" w:color="000000"/>
              <w:bottom w:val="single" w:sz="1" w:space="0" w:color="000000"/>
            </w:tcBorders>
          </w:tcPr>
          <w:p>
            <w:pPr>
              <w:spacing w:lineRule="auto"/>
            </w:pPr>
            <w:r>
              <w:rPr/>
              <w:t xml:space="preserve">$2.0M</w:t>
            </w:r>
          </w:p>
        </w:tc>
        <w:tc>
          <w:tcPr>
            <w:tcBorders>
              <w:top w:val="single" w:sz="1" w:space="0" w:color="000000"/>
              <w:left w:val="single" w:sz="1" w:space="0" w:color="000000"/>
              <w:bottom w:val="single" w:sz="1" w:space="0" w:color="000000"/>
            </w:tcBorders>
          </w:tcPr>
          <w:p>
            <w:pPr>
              <w:spacing w:lineRule="auto"/>
            </w:pPr>
            <w:r>
              <w:rPr/>
              <w:t xml:space="preserve">$4.0M</w:t>
            </w:r>
          </w:p>
        </w:tc>
      </w:tr>
      <w:tr>
        <w:trPr>
          <w:cantSplit/>
        </w:trPr>
        <w:tc>
          <w:tcPr>
            <w:tcBorders>
              <w:top w:val="single" w:sz="1" w:space="0" w:color="000000"/>
              <w:bottom w:val="single" w:sz="1" w:space="0" w:color="000000"/>
            </w:tcBorders>
          </w:tcPr>
          <w:p>
            <w:pPr>
              <w:spacing w:lineRule="auto"/>
            </w:pPr>
            <w:r>
              <w:rPr>
                <w:b/>
              </w:rPr>
              <w:t xml:space="preserve">Total Revenue</w:t>
            </w:r>
          </w:p>
        </w:tc>
        <w:tc>
          <w:tcPr>
            <w:tcBorders>
              <w:top w:val="single" w:sz="1" w:space="0" w:color="000000"/>
              <w:left w:val="single" w:sz="1" w:space="0" w:color="000000"/>
              <w:bottom w:val="single" w:sz="1" w:space="0" w:color="000000"/>
            </w:tcBorders>
          </w:tcPr>
          <w:p>
            <w:pPr>
              <w:spacing w:lineRule="auto"/>
            </w:pPr>
            <w:r>
              <w:rPr>
                <w:b/>
              </w:rPr>
              <w:t xml:space="preserve">$3.5M</w:t>
            </w:r>
          </w:p>
        </w:tc>
        <w:tc>
          <w:tcPr>
            <w:tcBorders>
              <w:top w:val="single" w:sz="1" w:space="0" w:color="000000"/>
              <w:left w:val="single" w:sz="1" w:space="0" w:color="000000"/>
              <w:bottom w:val="single" w:sz="1" w:space="0" w:color="000000"/>
            </w:tcBorders>
          </w:tcPr>
          <w:p>
            <w:pPr>
              <w:spacing w:lineRule="auto"/>
            </w:pPr>
            <w:r>
              <w:rPr>
                <w:b/>
              </w:rPr>
              <w:t xml:space="preserve">$11.4M</w:t>
            </w:r>
          </w:p>
        </w:tc>
        <w:tc>
          <w:tcPr>
            <w:tcBorders>
              <w:top w:val="single" w:sz="1" w:space="0" w:color="000000"/>
              <w:left w:val="single" w:sz="1" w:space="0" w:color="000000"/>
              <w:bottom w:val="single" w:sz="1" w:space="0" w:color="000000"/>
            </w:tcBorders>
          </w:tcPr>
          <w:p>
            <w:pPr>
              <w:spacing w:lineRule="auto"/>
            </w:pPr>
            <w:r>
              <w:rPr>
                <w:b/>
              </w:rPr>
              <w:t xml:space="preserve">$28.9M</w:t>
            </w:r>
          </w:p>
        </w:tc>
        <w:tc>
          <w:tcPr>
            <w:tcBorders>
              <w:top w:val="single" w:sz="1" w:space="0" w:color="000000"/>
              <w:left w:val="single" w:sz="1" w:space="0" w:color="000000"/>
              <w:bottom w:val="single" w:sz="1" w:space="0" w:color="000000"/>
            </w:tcBorders>
          </w:tcPr>
          <w:p>
            <w:pPr>
              <w:spacing w:lineRule="auto"/>
            </w:pPr>
            <w:r>
              <w:rPr>
                <w:b/>
              </w:rPr>
              <w:t xml:space="preserve">$58.7M</w:t>
            </w:r>
          </w:p>
        </w:tc>
        <w:tc>
          <w:tcPr>
            <w:tcBorders>
              <w:top w:val="single" w:sz="1" w:space="0" w:color="000000"/>
              <w:left w:val="single" w:sz="1" w:space="0" w:color="000000"/>
              <w:bottom w:val="single" w:sz="1" w:space="0" w:color="000000"/>
            </w:tcBorders>
          </w:tcPr>
          <w:p>
            <w:pPr>
              <w:spacing w:lineRule="auto"/>
            </w:pPr>
            <w:r>
              <w:rPr>
                <w:b/>
              </w:rPr>
              <w:t xml:space="preserve">$108.6M</w:t>
            </w:r>
          </w:p>
        </w:tc>
      </w:tr>
      <w:tr>
        <w:trPr>
          <w:cantSplit/>
        </w:trPr>
        <w:tc>
          <w:tcPr>
            <w:tcBorders>
              <w:top w:val="single" w:sz="1" w:space="0" w:color="000000"/>
              <w:bottom w:val="single" w:sz="1" w:space="0" w:color="000000"/>
            </w:tcBorders>
          </w:tcPr>
          <w:p>
            <w:pPr>
              <w:spacing w:lineRule="auto"/>
            </w:pPr>
            <w:r>
              <w:rPr>
                <w:b/>
              </w:rPr>
              <w:t xml:space="preserve">YoY Growth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225%</w:t>
            </w:r>
          </w:p>
        </w:tc>
        <w:tc>
          <w:tcPr>
            <w:tcBorders>
              <w:top w:val="single" w:sz="1" w:space="0" w:color="000000"/>
              <w:left w:val="single" w:sz="1" w:space="0" w:color="000000"/>
              <w:bottom w:val="single" w:sz="1" w:space="0" w:color="000000"/>
            </w:tcBorders>
          </w:tcPr>
          <w:p>
            <w:pPr>
              <w:spacing w:lineRule="auto"/>
            </w:pPr>
            <w:r>
              <w:rPr/>
              <w:t xml:space="preserve">154%</w:t>
            </w:r>
          </w:p>
        </w:tc>
        <w:tc>
          <w:tcPr>
            <w:tcBorders>
              <w:top w:val="single" w:sz="1" w:space="0" w:color="000000"/>
              <w:left w:val="single" w:sz="1" w:space="0" w:color="000000"/>
              <w:bottom w:val="single" w:sz="1" w:space="0" w:color="000000"/>
            </w:tcBorders>
          </w:tcPr>
          <w:p>
            <w:pPr>
              <w:spacing w:lineRule="auto"/>
            </w:pPr>
            <w:r>
              <w:rPr/>
              <w:t xml:space="preserve">103%</w:t>
            </w:r>
          </w:p>
        </w:tc>
        <w:tc>
          <w:tcPr>
            <w:tcBorders>
              <w:top w:val="single" w:sz="1" w:space="0" w:color="000000"/>
              <w:left w:val="single" w:sz="1" w:space="0" w:color="000000"/>
              <w:bottom w:val="single" w:sz="1" w:space="0" w:color="000000"/>
            </w:tcBorders>
          </w:tcPr>
          <w:p>
            <w:pPr>
              <w:spacing w:lineRule="auto"/>
            </w:pPr>
            <w:r>
              <w:rPr/>
              <w:t xml:space="preserve">85%</w:t>
            </w:r>
          </w:p>
        </w:tc>
      </w:tr>
    </w:tbl>
    <w:p>
      <w:pPr>
        <w:spacing w:lineRule="auto"/>
      </w:pPr>
    </w:p>
    <w:p>
      <w:pPr>
        <w:spacing w:line="271" w:before="240" w:lineRule="auto"/>
      </w:pPr>
      <w:bookmarkStart w:id="87" w:name="expense_profitability_forecast"/>
      <w:r>
        <w:rPr>
          <w:b/>
          <w:sz w:val="33"/>
        </w:rPr>
        <w:t xml:space="preserve">Expense &amp; Profitability Forecast</w:t>
      </w:r>
      <w:bookmarkEnd w:id="8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Year 1</w:t>
            </w:r>
          </w:p>
        </w:tc>
        <w:tc>
          <w:tcPr>
            <w:tcBorders>
              <w:top w:val="single" w:sz="1" w:space="0" w:color="000000"/>
              <w:left w:val="single" w:sz="1" w:space="0" w:color="000000"/>
              <w:bottom w:val="single" w:sz="1" w:space="0" w:color="000000"/>
            </w:tcBorders>
          </w:tcPr>
          <w:p>
            <w:pPr>
              <w:spacing w:lineRule="auto"/>
            </w:pPr>
            <w:r>
              <w:rPr/>
              <w:t xml:space="preserve">Year 2</w:t>
            </w:r>
          </w:p>
        </w:tc>
        <w:tc>
          <w:tcPr>
            <w:tcBorders>
              <w:top w:val="single" w:sz="1" w:space="0" w:color="000000"/>
              <w:left w:val="single" w:sz="1" w:space="0" w:color="000000"/>
              <w:bottom w:val="single" w:sz="1" w:space="0" w:color="000000"/>
            </w:tcBorders>
          </w:tcPr>
          <w:p>
            <w:pPr>
              <w:spacing w:lineRule="auto"/>
            </w:pPr>
            <w:r>
              <w:rPr/>
              <w:t xml:space="preserve">Year 3</w:t>
            </w:r>
          </w:p>
        </w:tc>
        <w:tc>
          <w:tcPr>
            <w:tcBorders>
              <w:top w:val="single" w:sz="1" w:space="0" w:color="000000"/>
              <w:left w:val="single" w:sz="1" w:space="0" w:color="000000"/>
              <w:bottom w:val="single" w:sz="1" w:space="0" w:color="000000"/>
            </w:tcBorders>
          </w:tcPr>
          <w:p>
            <w:pPr>
              <w:spacing w:lineRule="auto"/>
            </w:pPr>
            <w:r>
              <w:rPr/>
              <w:t xml:space="preserve">Year 4</w:t>
            </w:r>
          </w:p>
        </w:tc>
        <w:tc>
          <w:tcPr>
            <w:tcBorders>
              <w:top w:val="single" w:sz="1" w:space="0" w:color="000000"/>
              <w:left w:val="single" w:sz="1" w:space="0" w:color="000000"/>
              <w:bottom w:val="single" w:sz="1" w:space="0" w:color="000000"/>
            </w:tcBorders>
          </w:tcPr>
          <w:p>
            <w:pPr>
              <w:spacing w:lineRule="auto"/>
            </w:pPr>
            <w:r>
              <w:rPr/>
              <w:t xml:space="preserve">Year 5</w:t>
            </w:r>
          </w:p>
        </w:tc>
      </w:tr>
      <w:tr>
        <w:trPr>
          <w:cantSplit/>
        </w:trPr>
        <w:tc>
          <w:tcPr>
            <w:tcBorders>
              <w:top w:val="single" w:sz="1" w:space="0" w:color="000000"/>
              <w:bottom w:val="single" w:sz="1" w:space="0" w:color="000000"/>
            </w:tcBorders>
          </w:tcPr>
          <w:p>
            <w:pPr>
              <w:spacing w:lineRule="auto"/>
            </w:pPr>
            <w:r>
              <w:rPr>
                <w:b/>
              </w:rPr>
              <w:t xml:space="preserve">Gross Profit (80% margin)</w:t>
            </w:r>
          </w:p>
        </w:tc>
        <w:tc>
          <w:tcPr>
            <w:tcBorders>
              <w:top w:val="single" w:sz="1" w:space="0" w:color="000000"/>
              <w:left w:val="single" w:sz="1" w:space="0" w:color="000000"/>
              <w:bottom w:val="single" w:sz="1" w:space="0" w:color="000000"/>
            </w:tcBorders>
          </w:tcPr>
          <w:p>
            <w:pPr>
              <w:spacing w:lineRule="auto"/>
            </w:pPr>
            <w:r>
              <w:rPr/>
              <w:t xml:space="preserve">$2.8M</w:t>
            </w:r>
          </w:p>
        </w:tc>
        <w:tc>
          <w:tcPr>
            <w:tcBorders>
              <w:top w:val="single" w:sz="1" w:space="0" w:color="000000"/>
              <w:left w:val="single" w:sz="1" w:space="0" w:color="000000"/>
              <w:bottom w:val="single" w:sz="1" w:space="0" w:color="000000"/>
            </w:tcBorders>
          </w:tcPr>
          <w:p>
            <w:pPr>
              <w:spacing w:lineRule="auto"/>
            </w:pPr>
            <w:r>
              <w:rPr/>
              <w:t xml:space="preserve">$9.3M</w:t>
            </w:r>
          </w:p>
        </w:tc>
        <w:tc>
          <w:tcPr>
            <w:tcBorders>
              <w:top w:val="single" w:sz="1" w:space="0" w:color="000000"/>
              <w:left w:val="single" w:sz="1" w:space="0" w:color="000000"/>
              <w:bottom w:val="single" w:sz="1" w:space="0" w:color="000000"/>
            </w:tcBorders>
          </w:tcPr>
          <w:p>
            <w:pPr>
              <w:spacing w:lineRule="auto"/>
            </w:pPr>
            <w:r>
              <w:rPr/>
              <w:t xml:space="preserve">$24.6M</w:t>
            </w:r>
          </w:p>
        </w:tc>
        <w:tc>
          <w:tcPr>
            <w:tcBorders>
              <w:top w:val="single" w:sz="1" w:space="0" w:color="000000"/>
              <w:left w:val="single" w:sz="1" w:space="0" w:color="000000"/>
              <w:bottom w:val="single" w:sz="1" w:space="0" w:color="000000"/>
            </w:tcBorders>
          </w:tcPr>
          <w:p>
            <w:pPr>
              <w:spacing w:lineRule="auto"/>
            </w:pPr>
            <w:r>
              <w:rPr/>
              <w:t xml:space="preserve">$50.1M</w:t>
            </w:r>
          </w:p>
        </w:tc>
        <w:tc>
          <w:tcPr>
            <w:tcBorders>
              <w:top w:val="single" w:sz="1" w:space="0" w:color="000000"/>
              <w:left w:val="single" w:sz="1" w:space="0" w:color="000000"/>
              <w:bottom w:val="single" w:sz="1" w:space="0" w:color="000000"/>
            </w:tcBorders>
          </w:tcPr>
          <w:p>
            <w:pPr>
              <w:spacing w:lineRule="auto"/>
            </w:pPr>
            <w:r>
              <w:rPr/>
              <w:t xml:space="preserve">$95.6M</w:t>
            </w:r>
          </w:p>
        </w:tc>
      </w:tr>
      <w:tr>
        <w:trPr>
          <w:cantSplit/>
        </w:trPr>
        <w:tc>
          <w:tcPr>
            <w:tcBorders>
              <w:top w:val="single" w:sz="1" w:space="0" w:color="000000"/>
              <w:bottom w:val="single" w:sz="1" w:space="0" w:color="000000"/>
            </w:tcBorders>
          </w:tcPr>
          <w:p>
            <w:pPr>
              <w:spacing w:lineRule="auto"/>
            </w:pPr>
            <w:r>
              <w:rPr>
                <w:b/>
              </w:rPr>
              <w:t xml:space="preserve">Engineering</w:t>
            </w:r>
          </w:p>
        </w:tc>
        <w:tc>
          <w:tcPr>
            <w:tcBorders>
              <w:top w:val="single" w:sz="1" w:space="0" w:color="000000"/>
              <w:left w:val="single" w:sz="1" w:space="0" w:color="000000"/>
              <w:bottom w:val="single" w:sz="1" w:space="0" w:color="000000"/>
            </w:tcBorders>
          </w:tcPr>
          <w:p>
            <w:pPr>
              <w:spacing w:lineRule="auto"/>
            </w:pPr>
            <w:r>
              <w:rPr/>
              <w:t xml:space="preserve">$1.2M</w:t>
            </w:r>
          </w:p>
        </w:tc>
        <w:tc>
          <w:tcPr>
            <w:tcBorders>
              <w:top w:val="single" w:sz="1" w:space="0" w:color="000000"/>
              <w:left w:val="single" w:sz="1" w:space="0" w:color="000000"/>
              <w:bottom w:val="single" w:sz="1" w:space="0" w:color="000000"/>
            </w:tcBorders>
          </w:tcPr>
          <w:p>
            <w:pPr>
              <w:spacing w:lineRule="auto"/>
            </w:pPr>
            <w:r>
              <w:rPr/>
              <w:t xml:space="preserve">$2.0M</w:t>
            </w:r>
          </w:p>
        </w:tc>
        <w:tc>
          <w:tcPr>
            <w:tcBorders>
              <w:top w:val="single" w:sz="1" w:space="0" w:color="000000"/>
              <w:left w:val="single" w:sz="1" w:space="0" w:color="000000"/>
              <w:bottom w:val="single" w:sz="1" w:space="0" w:color="000000"/>
            </w:tcBorders>
          </w:tcPr>
          <w:p>
            <w:pPr>
              <w:spacing w:lineRule="auto"/>
            </w:pPr>
            <w:r>
              <w:rPr/>
              <w:t xml:space="preserve">$3.5M</w:t>
            </w:r>
          </w:p>
        </w:tc>
        <w:tc>
          <w:tcPr>
            <w:tcBorders>
              <w:top w:val="single" w:sz="1" w:space="0" w:color="000000"/>
              <w:left w:val="single" w:sz="1" w:space="0" w:color="000000"/>
              <w:bottom w:val="single" w:sz="1" w:space="0" w:color="000000"/>
            </w:tcBorders>
          </w:tcPr>
          <w:p>
            <w:pPr>
              <w:spacing w:lineRule="auto"/>
            </w:pPr>
            <w:r>
              <w:rPr/>
              <w:t xml:space="preserve">$5.5M</w:t>
            </w:r>
          </w:p>
        </w:tc>
        <w:tc>
          <w:tcPr>
            <w:tcBorders>
              <w:top w:val="single" w:sz="1" w:space="0" w:color="000000"/>
              <w:left w:val="single" w:sz="1" w:space="0" w:color="000000"/>
              <w:bottom w:val="single" w:sz="1" w:space="0" w:color="000000"/>
            </w:tcBorders>
          </w:tcPr>
          <w:p>
            <w:pPr>
              <w:spacing w:lineRule="auto"/>
            </w:pPr>
            <w:r>
              <w:rPr/>
              <w:t xml:space="preserve">$8.0M</w:t>
            </w:r>
          </w:p>
        </w:tc>
      </w:tr>
      <w:tr>
        <w:trPr>
          <w:cantSplit/>
        </w:trPr>
        <w:tc>
          <w:tcPr>
            <w:tcBorders>
              <w:top w:val="single" w:sz="1" w:space="0" w:color="000000"/>
              <w:bottom w:val="single" w:sz="1" w:space="0" w:color="000000"/>
            </w:tcBorders>
          </w:tcPr>
          <w:p>
            <w:pPr>
              <w:spacing w:lineRule="auto"/>
            </w:pPr>
            <w:r>
              <w:rPr>
                <w:b/>
              </w:rPr>
              <w:t xml:space="preserve">Sales &amp; Dealer Enablement</w:t>
            </w:r>
          </w:p>
        </w:tc>
        <w:tc>
          <w:tcPr>
            <w:tcBorders>
              <w:top w:val="single" w:sz="1" w:space="0" w:color="000000"/>
              <w:left w:val="single" w:sz="1" w:space="0" w:color="000000"/>
              <w:bottom w:val="single" w:sz="1" w:space="0" w:color="000000"/>
            </w:tcBorders>
          </w:tcPr>
          <w:p>
            <w:pPr>
              <w:spacing w:lineRule="auto"/>
            </w:pPr>
            <w:r>
              <w:rPr/>
              <w:t xml:space="preserve">$0.6M</w:t>
            </w:r>
          </w:p>
        </w:tc>
        <w:tc>
          <w:tcPr>
            <w:tcBorders>
              <w:top w:val="single" w:sz="1" w:space="0" w:color="000000"/>
              <w:left w:val="single" w:sz="1" w:space="0" w:color="000000"/>
              <w:bottom w:val="single" w:sz="1" w:space="0" w:color="000000"/>
            </w:tcBorders>
          </w:tcPr>
          <w:p>
            <w:pPr>
              <w:spacing w:lineRule="auto"/>
            </w:pPr>
            <w:r>
              <w:rPr/>
              <w:t xml:space="preserve">$1.5M</w:t>
            </w:r>
          </w:p>
        </w:tc>
        <w:tc>
          <w:tcPr>
            <w:tcBorders>
              <w:top w:val="single" w:sz="1" w:space="0" w:color="000000"/>
              <w:left w:val="single" w:sz="1" w:space="0" w:color="000000"/>
              <w:bottom w:val="single" w:sz="1" w:space="0" w:color="000000"/>
            </w:tcBorders>
          </w:tcPr>
          <w:p>
            <w:pPr>
              <w:spacing w:lineRule="auto"/>
            </w:pPr>
            <w:r>
              <w:rPr/>
              <w:t xml:space="preserve">$3.2M</w:t>
            </w:r>
          </w:p>
        </w:tc>
        <w:tc>
          <w:tcPr>
            <w:tcBorders>
              <w:top w:val="single" w:sz="1" w:space="0" w:color="000000"/>
              <w:left w:val="single" w:sz="1" w:space="0" w:color="000000"/>
              <w:bottom w:val="single" w:sz="1" w:space="0" w:color="000000"/>
            </w:tcBorders>
          </w:tcPr>
          <w:p>
            <w:pPr>
              <w:spacing w:lineRule="auto"/>
            </w:pPr>
            <w:r>
              <w:rPr/>
              <w:t xml:space="preserve">$5.9M</w:t>
            </w:r>
          </w:p>
        </w:tc>
        <w:tc>
          <w:tcPr>
            <w:tcBorders>
              <w:top w:val="single" w:sz="1" w:space="0" w:color="000000"/>
              <w:left w:val="single" w:sz="1" w:space="0" w:color="000000"/>
              <w:bottom w:val="single" w:sz="1" w:space="0" w:color="000000"/>
            </w:tcBorders>
          </w:tcPr>
          <w:p>
            <w:pPr>
              <w:spacing w:lineRule="auto"/>
            </w:pPr>
            <w:r>
              <w:rPr/>
              <w:t xml:space="preserve">$8.7M</w:t>
            </w:r>
          </w:p>
        </w:tc>
      </w:tr>
      <w:tr>
        <w:trPr>
          <w:cantSplit/>
        </w:trPr>
        <w:tc>
          <w:tcPr>
            <w:tcBorders>
              <w:top w:val="single" w:sz="1" w:space="0" w:color="000000"/>
              <w:bottom w:val="single" w:sz="1" w:space="0" w:color="000000"/>
            </w:tcBorders>
          </w:tcPr>
          <w:p>
            <w:pPr>
              <w:spacing w:lineRule="auto"/>
            </w:pPr>
            <w:r>
              <w:rPr>
                <w:b/>
              </w:rPr>
              <w:t xml:space="preserve">Compliance &amp; Security</w:t>
            </w:r>
          </w:p>
        </w:tc>
        <w:tc>
          <w:tcPr>
            <w:tcBorders>
              <w:top w:val="single" w:sz="1" w:space="0" w:color="000000"/>
              <w:left w:val="single" w:sz="1" w:space="0" w:color="000000"/>
              <w:bottom w:val="single" w:sz="1" w:space="0" w:color="000000"/>
            </w:tcBorders>
          </w:tcPr>
          <w:p>
            <w:pPr>
              <w:spacing w:lineRule="auto"/>
            </w:pPr>
            <w:r>
              <w:rPr/>
              <w:t xml:space="preserve">$0.2M</w:t>
            </w:r>
          </w:p>
        </w:tc>
        <w:tc>
          <w:tcPr>
            <w:tcBorders>
              <w:top w:val="single" w:sz="1" w:space="0" w:color="000000"/>
              <w:left w:val="single" w:sz="1" w:space="0" w:color="000000"/>
              <w:bottom w:val="single" w:sz="1" w:space="0" w:color="000000"/>
            </w:tcBorders>
          </w:tcPr>
          <w:p>
            <w:pPr>
              <w:spacing w:lineRule="auto"/>
            </w:pPr>
            <w:r>
              <w:rPr/>
              <w:t xml:space="preserve">$0.4M</w:t>
            </w:r>
          </w:p>
        </w:tc>
        <w:tc>
          <w:tcPr>
            <w:tcBorders>
              <w:top w:val="single" w:sz="1" w:space="0" w:color="000000"/>
              <w:left w:val="single" w:sz="1" w:space="0" w:color="000000"/>
              <w:bottom w:val="single" w:sz="1" w:space="0" w:color="000000"/>
            </w:tcBorders>
          </w:tcPr>
          <w:p>
            <w:pPr>
              <w:spacing w:lineRule="auto"/>
            </w:pPr>
            <w:r>
              <w:rPr/>
              <w:t xml:space="preserve">$0.8M</w:t>
            </w:r>
          </w:p>
        </w:tc>
        <w:tc>
          <w:tcPr>
            <w:tcBorders>
              <w:top w:val="single" w:sz="1" w:space="0" w:color="000000"/>
              <w:left w:val="single" w:sz="1" w:space="0" w:color="000000"/>
              <w:bottom w:val="single" w:sz="1" w:space="0" w:color="000000"/>
            </w:tcBorders>
          </w:tcPr>
          <w:p>
            <w:pPr>
              <w:spacing w:lineRule="auto"/>
            </w:pPr>
            <w:r>
              <w:rPr/>
              <w:t xml:space="preserve">$1.5M</w:t>
            </w:r>
          </w:p>
        </w:tc>
        <w:tc>
          <w:tcPr>
            <w:tcBorders>
              <w:top w:val="single" w:sz="1" w:space="0" w:color="000000"/>
              <w:left w:val="single" w:sz="1" w:space="0" w:color="000000"/>
              <w:bottom w:val="single" w:sz="1" w:space="0" w:color="000000"/>
            </w:tcBorders>
          </w:tcPr>
          <w:p>
            <w:pPr>
              <w:spacing w:lineRule="auto"/>
            </w:pPr>
            <w:r>
              <w:rPr/>
              <w:t xml:space="preserve">$2.5M</w:t>
            </w:r>
          </w:p>
        </w:tc>
      </w:tr>
      <w:tr>
        <w:trPr>
          <w:cantSplit/>
        </w:trPr>
        <w:tc>
          <w:tcPr>
            <w:tcBorders>
              <w:top w:val="single" w:sz="1" w:space="0" w:color="000000"/>
              <w:bottom w:val="single" w:sz="1" w:space="0" w:color="000000"/>
            </w:tcBorders>
          </w:tcPr>
          <w:p>
            <w:pPr>
              <w:spacing w:lineRule="auto"/>
            </w:pPr>
            <w:r>
              <w:rPr>
                <w:b/>
              </w:rPr>
              <w:t xml:space="preserve">Cloud Infrastructure</w:t>
            </w:r>
          </w:p>
        </w:tc>
        <w:tc>
          <w:tcPr>
            <w:tcBorders>
              <w:top w:val="single" w:sz="1" w:space="0" w:color="000000"/>
              <w:left w:val="single" w:sz="1" w:space="0" w:color="000000"/>
              <w:bottom w:val="single" w:sz="1" w:space="0" w:color="000000"/>
            </w:tcBorders>
          </w:tcPr>
          <w:p>
            <w:pPr>
              <w:spacing w:lineRule="auto"/>
            </w:pPr>
            <w:r>
              <w:rPr/>
              <w:t xml:space="preserve">$0.2M</w:t>
            </w:r>
          </w:p>
        </w:tc>
        <w:tc>
          <w:tcPr>
            <w:tcBorders>
              <w:top w:val="single" w:sz="1" w:space="0" w:color="000000"/>
              <w:left w:val="single" w:sz="1" w:space="0" w:color="000000"/>
              <w:bottom w:val="single" w:sz="1" w:space="0" w:color="000000"/>
            </w:tcBorders>
          </w:tcPr>
          <w:p>
            <w:pPr>
              <w:spacing w:lineRule="auto"/>
            </w:pPr>
            <w:r>
              <w:rPr/>
              <w:t xml:space="preserve">$0.5M</w:t>
            </w:r>
          </w:p>
        </w:tc>
        <w:tc>
          <w:tcPr>
            <w:tcBorders>
              <w:top w:val="single" w:sz="1" w:space="0" w:color="000000"/>
              <w:left w:val="single" w:sz="1" w:space="0" w:color="000000"/>
              <w:bottom w:val="single" w:sz="1" w:space="0" w:color="000000"/>
            </w:tcBorders>
          </w:tcPr>
          <w:p>
            <w:pPr>
              <w:spacing w:lineRule="auto"/>
            </w:pPr>
            <w:r>
              <w:rPr/>
              <w:t xml:space="preserve">$1.0M</w:t>
            </w:r>
          </w:p>
        </w:tc>
        <w:tc>
          <w:tcPr>
            <w:tcBorders>
              <w:top w:val="single" w:sz="1" w:space="0" w:color="000000"/>
              <w:left w:val="single" w:sz="1" w:space="0" w:color="000000"/>
              <w:bottom w:val="single" w:sz="1" w:space="0" w:color="000000"/>
            </w:tcBorders>
          </w:tcPr>
          <w:p>
            <w:pPr>
              <w:spacing w:lineRule="auto"/>
            </w:pPr>
            <w:r>
              <w:rPr/>
              <w:t xml:space="preserve">$2.1M</w:t>
            </w:r>
          </w:p>
        </w:tc>
        <w:tc>
          <w:tcPr>
            <w:tcBorders>
              <w:top w:val="single" w:sz="1" w:space="0" w:color="000000"/>
              <w:left w:val="single" w:sz="1" w:space="0" w:color="000000"/>
              <w:bottom w:val="single" w:sz="1" w:space="0" w:color="000000"/>
            </w:tcBorders>
          </w:tcPr>
          <w:p>
            <w:pPr>
              <w:spacing w:lineRule="auto"/>
            </w:pPr>
            <w:r>
              <w:rPr/>
              <w:t xml:space="preserve">$3.5M</w:t>
            </w:r>
          </w:p>
        </w:tc>
      </w:tr>
      <w:tr>
        <w:trPr>
          <w:cantSplit/>
        </w:trPr>
        <w:tc>
          <w:tcPr>
            <w:tcBorders>
              <w:top w:val="single" w:sz="1" w:space="0" w:color="000000"/>
              <w:bottom w:val="single" w:sz="1" w:space="0" w:color="000000"/>
            </w:tcBorders>
          </w:tcPr>
          <w:p>
            <w:pPr>
              <w:spacing w:lineRule="auto"/>
            </w:pPr>
            <w:r>
              <w:rPr>
                <w:b/>
              </w:rPr>
              <w:t xml:space="preserve">G&amp;A</w:t>
            </w:r>
          </w:p>
        </w:tc>
        <w:tc>
          <w:tcPr>
            <w:tcBorders>
              <w:top w:val="single" w:sz="1" w:space="0" w:color="000000"/>
              <w:left w:val="single" w:sz="1" w:space="0" w:color="000000"/>
              <w:bottom w:val="single" w:sz="1" w:space="0" w:color="000000"/>
            </w:tcBorders>
          </w:tcPr>
          <w:p>
            <w:pPr>
              <w:spacing w:lineRule="auto"/>
            </w:pPr>
            <w:r>
              <w:rPr/>
              <w:t xml:space="preserve">$0.4M</w:t>
            </w:r>
          </w:p>
        </w:tc>
        <w:tc>
          <w:tcPr>
            <w:tcBorders>
              <w:top w:val="single" w:sz="1" w:space="0" w:color="000000"/>
              <w:left w:val="single" w:sz="1" w:space="0" w:color="000000"/>
              <w:bottom w:val="single" w:sz="1" w:space="0" w:color="000000"/>
            </w:tcBorders>
          </w:tcPr>
          <w:p>
            <w:pPr>
              <w:spacing w:lineRule="auto"/>
            </w:pPr>
            <w:r>
              <w:rPr/>
              <w:t xml:space="preserve">$0.7M</w:t>
            </w:r>
          </w:p>
        </w:tc>
        <w:tc>
          <w:tcPr>
            <w:tcBorders>
              <w:top w:val="single" w:sz="1" w:space="0" w:color="000000"/>
              <w:left w:val="single" w:sz="1" w:space="0" w:color="000000"/>
              <w:bottom w:val="single" w:sz="1" w:space="0" w:color="000000"/>
            </w:tcBorders>
          </w:tcPr>
          <w:p>
            <w:pPr>
              <w:spacing w:lineRule="auto"/>
            </w:pPr>
            <w:r>
              <w:rPr/>
              <w:t xml:space="preserve">$1.2M</w:t>
            </w:r>
          </w:p>
        </w:tc>
        <w:tc>
          <w:tcPr>
            <w:tcBorders>
              <w:top w:val="single" w:sz="1" w:space="0" w:color="000000"/>
              <w:left w:val="single" w:sz="1" w:space="0" w:color="000000"/>
              <w:bottom w:val="single" w:sz="1" w:space="0" w:color="000000"/>
            </w:tcBorders>
          </w:tcPr>
          <w:p>
            <w:pPr>
              <w:spacing w:lineRule="auto"/>
            </w:pPr>
            <w:r>
              <w:rPr/>
              <w:t xml:space="preserve">$2.0M</w:t>
            </w:r>
          </w:p>
        </w:tc>
        <w:tc>
          <w:tcPr>
            <w:tcBorders>
              <w:top w:val="single" w:sz="1" w:space="0" w:color="000000"/>
              <w:left w:val="single" w:sz="1" w:space="0" w:color="000000"/>
              <w:bottom w:val="single" w:sz="1" w:space="0" w:color="000000"/>
            </w:tcBorders>
          </w:tcPr>
          <w:p>
            <w:pPr>
              <w:spacing w:lineRule="auto"/>
            </w:pPr>
            <w:r>
              <w:rPr/>
              <w:t xml:space="preserve">$3.2M</w:t>
            </w:r>
          </w:p>
        </w:tc>
      </w:tr>
      <w:tr>
        <w:trPr>
          <w:cantSplit/>
        </w:trPr>
        <w:tc>
          <w:tcPr>
            <w:tcBorders>
              <w:top w:val="single" w:sz="1" w:space="0" w:color="000000"/>
              <w:bottom w:val="single" w:sz="1" w:space="0" w:color="000000"/>
            </w:tcBorders>
          </w:tcPr>
          <w:p>
            <w:pPr>
              <w:spacing w:lineRule="auto"/>
            </w:pPr>
            <w:r>
              <w:rPr>
                <w:b/>
              </w:rPr>
              <w:t xml:space="preserve">Total OpEx</w:t>
            </w:r>
          </w:p>
        </w:tc>
        <w:tc>
          <w:tcPr>
            <w:tcBorders>
              <w:top w:val="single" w:sz="1" w:space="0" w:color="000000"/>
              <w:left w:val="single" w:sz="1" w:space="0" w:color="000000"/>
              <w:bottom w:val="single" w:sz="1" w:space="0" w:color="000000"/>
            </w:tcBorders>
          </w:tcPr>
          <w:p>
            <w:pPr>
              <w:spacing w:lineRule="auto"/>
            </w:pPr>
            <w:r>
              <w:rPr>
                <w:b/>
              </w:rPr>
              <w:t xml:space="preserve">$2.6M</w:t>
            </w:r>
          </w:p>
        </w:tc>
        <w:tc>
          <w:tcPr>
            <w:tcBorders>
              <w:top w:val="single" w:sz="1" w:space="0" w:color="000000"/>
              <w:left w:val="single" w:sz="1" w:space="0" w:color="000000"/>
              <w:bottom w:val="single" w:sz="1" w:space="0" w:color="000000"/>
            </w:tcBorders>
          </w:tcPr>
          <w:p>
            <w:pPr>
              <w:spacing w:lineRule="auto"/>
            </w:pPr>
            <w:r>
              <w:rPr>
                <w:b/>
              </w:rPr>
              <w:t xml:space="preserve">$5.1M</w:t>
            </w:r>
          </w:p>
        </w:tc>
        <w:tc>
          <w:tcPr>
            <w:tcBorders>
              <w:top w:val="single" w:sz="1" w:space="0" w:color="000000"/>
              <w:left w:val="single" w:sz="1" w:space="0" w:color="000000"/>
              <w:bottom w:val="single" w:sz="1" w:space="0" w:color="000000"/>
            </w:tcBorders>
          </w:tcPr>
          <w:p>
            <w:pPr>
              <w:spacing w:lineRule="auto"/>
            </w:pPr>
            <w:r>
              <w:rPr>
                <w:b/>
              </w:rPr>
              <w:t xml:space="preserve">$9.7M</w:t>
            </w:r>
          </w:p>
        </w:tc>
        <w:tc>
          <w:tcPr>
            <w:tcBorders>
              <w:top w:val="single" w:sz="1" w:space="0" w:color="000000"/>
              <w:left w:val="single" w:sz="1" w:space="0" w:color="000000"/>
              <w:bottom w:val="single" w:sz="1" w:space="0" w:color="000000"/>
            </w:tcBorders>
          </w:tcPr>
          <w:p>
            <w:pPr>
              <w:spacing w:lineRule="auto"/>
            </w:pPr>
            <w:r>
              <w:rPr>
                <w:b/>
              </w:rPr>
              <w:t xml:space="preserve">$16.9M</w:t>
            </w:r>
          </w:p>
        </w:tc>
        <w:tc>
          <w:tcPr>
            <w:tcBorders>
              <w:top w:val="single" w:sz="1" w:space="0" w:color="000000"/>
              <w:left w:val="single" w:sz="1" w:space="0" w:color="000000"/>
              <w:bottom w:val="single" w:sz="1" w:space="0" w:color="000000"/>
            </w:tcBorders>
          </w:tcPr>
          <w:p>
            <w:pPr>
              <w:spacing w:lineRule="auto"/>
            </w:pPr>
            <w:r>
              <w:rPr>
                <w:b/>
              </w:rPr>
              <w:t xml:space="preserve">$26.0M</w:t>
            </w:r>
          </w:p>
        </w:tc>
      </w:tr>
      <w:tr>
        <w:trPr>
          <w:cantSplit/>
        </w:trPr>
        <w:tc>
          <w:tcPr>
            <w:tcBorders>
              <w:top w:val="single" w:sz="1" w:space="0" w:color="000000"/>
              <w:bottom w:val="single" w:sz="1" w:space="0" w:color="000000"/>
            </w:tcBorders>
          </w:tcPr>
          <w:p>
            <w:pPr>
              <w:spacing w:lineRule="auto"/>
            </w:pPr>
            <w:r>
              <w:rPr>
                <w:b/>
              </w:rPr>
              <w:t xml:space="preserve">EBITDA</w:t>
            </w:r>
          </w:p>
        </w:tc>
        <w:tc>
          <w:tcPr>
            <w:tcBorders>
              <w:top w:val="single" w:sz="1" w:space="0" w:color="000000"/>
              <w:left w:val="single" w:sz="1" w:space="0" w:color="000000"/>
              <w:bottom w:val="single" w:sz="1" w:space="0" w:color="000000"/>
            </w:tcBorders>
          </w:tcPr>
          <w:p>
            <w:pPr>
              <w:spacing w:lineRule="auto"/>
            </w:pPr>
            <w:r>
              <w:rPr>
                <w:b/>
              </w:rPr>
              <w:t xml:space="preserve">$0.2M</w:t>
            </w:r>
          </w:p>
        </w:tc>
        <w:tc>
          <w:tcPr>
            <w:tcBorders>
              <w:top w:val="single" w:sz="1" w:space="0" w:color="000000"/>
              <w:left w:val="single" w:sz="1" w:space="0" w:color="000000"/>
              <w:bottom w:val="single" w:sz="1" w:space="0" w:color="000000"/>
            </w:tcBorders>
          </w:tcPr>
          <w:p>
            <w:pPr>
              <w:spacing w:lineRule="auto"/>
            </w:pPr>
            <w:r>
              <w:rPr>
                <w:b/>
              </w:rPr>
              <w:t xml:space="preserve">$4.2M</w:t>
            </w:r>
          </w:p>
        </w:tc>
        <w:tc>
          <w:tcPr>
            <w:tcBorders>
              <w:top w:val="single" w:sz="1" w:space="0" w:color="000000"/>
              <w:left w:val="single" w:sz="1" w:space="0" w:color="000000"/>
              <w:bottom w:val="single" w:sz="1" w:space="0" w:color="000000"/>
            </w:tcBorders>
          </w:tcPr>
          <w:p>
            <w:pPr>
              <w:spacing w:lineRule="auto"/>
            </w:pPr>
            <w:r>
              <w:rPr>
                <w:b/>
              </w:rPr>
              <w:t xml:space="preserve">$14.9M</w:t>
            </w:r>
          </w:p>
        </w:tc>
        <w:tc>
          <w:tcPr>
            <w:tcBorders>
              <w:top w:val="single" w:sz="1" w:space="0" w:color="000000"/>
              <w:left w:val="single" w:sz="1" w:space="0" w:color="000000"/>
              <w:bottom w:val="single" w:sz="1" w:space="0" w:color="000000"/>
            </w:tcBorders>
          </w:tcPr>
          <w:p>
            <w:pPr>
              <w:spacing w:lineRule="auto"/>
            </w:pPr>
            <w:r>
              <w:rPr>
                <w:b/>
              </w:rPr>
              <w:t xml:space="preserve">$33.2M</w:t>
            </w:r>
          </w:p>
        </w:tc>
        <w:tc>
          <w:tcPr>
            <w:tcBorders>
              <w:top w:val="single" w:sz="1" w:space="0" w:color="000000"/>
              <w:left w:val="single" w:sz="1" w:space="0" w:color="000000"/>
              <w:bottom w:val="single" w:sz="1" w:space="0" w:color="000000"/>
            </w:tcBorders>
          </w:tcPr>
          <w:p>
            <w:pPr>
              <w:spacing w:lineRule="auto"/>
            </w:pPr>
            <w:r>
              <w:rPr>
                <w:b/>
              </w:rPr>
              <w:t xml:space="preserve">$69.6M</w:t>
            </w:r>
          </w:p>
        </w:tc>
      </w:tr>
      <w:tr>
        <w:trPr>
          <w:cantSplit/>
        </w:trPr>
        <w:tc>
          <w:tcPr>
            <w:tcBorders>
              <w:top w:val="single" w:sz="1" w:space="0" w:color="000000"/>
              <w:bottom w:val="single" w:sz="1" w:space="0" w:color="000000"/>
            </w:tcBorders>
          </w:tcPr>
          <w:p>
            <w:pPr>
              <w:spacing w:lineRule="auto"/>
            </w:pPr>
            <w:r>
              <w:rPr>
                <w:b/>
              </w:rPr>
              <w:t xml:space="preserve">EBITDA Margin</w:t>
            </w:r>
          </w:p>
        </w:tc>
        <w:tc>
          <w:tcPr>
            <w:tcBorders>
              <w:top w:val="single" w:sz="1" w:space="0" w:color="000000"/>
              <w:left w:val="single" w:sz="1" w:space="0" w:color="000000"/>
              <w:bottom w:val="single" w:sz="1" w:space="0" w:color="000000"/>
            </w:tcBorders>
          </w:tcPr>
          <w:p>
            <w:pPr>
              <w:spacing w:lineRule="auto"/>
            </w:pPr>
            <w:r>
              <w:rPr/>
              <w:t xml:space="preserve">6%</w:t>
            </w:r>
          </w:p>
        </w:tc>
        <w:tc>
          <w:tcPr>
            <w:tcBorders>
              <w:top w:val="single" w:sz="1" w:space="0" w:color="000000"/>
              <w:left w:val="single" w:sz="1" w:space="0" w:color="000000"/>
              <w:bottom w:val="single" w:sz="1" w:space="0" w:color="000000"/>
            </w:tcBorders>
          </w:tcPr>
          <w:p>
            <w:pPr>
              <w:spacing w:lineRule="auto"/>
            </w:pPr>
            <w:r>
              <w:rPr/>
              <w:t xml:space="preserve">37%</w:t>
            </w:r>
          </w:p>
        </w:tc>
        <w:tc>
          <w:tcPr>
            <w:tcBorders>
              <w:top w:val="single" w:sz="1" w:space="0" w:color="000000"/>
              <w:left w:val="single" w:sz="1" w:space="0" w:color="000000"/>
              <w:bottom w:val="single" w:sz="1" w:space="0" w:color="000000"/>
            </w:tcBorders>
          </w:tcPr>
          <w:p>
            <w:pPr>
              <w:spacing w:lineRule="auto"/>
            </w:pPr>
            <w:r>
              <w:rPr/>
              <w:t xml:space="preserve">52%</w:t>
            </w:r>
          </w:p>
        </w:tc>
        <w:tc>
          <w:tcPr>
            <w:tcBorders>
              <w:top w:val="single" w:sz="1" w:space="0" w:color="000000"/>
              <w:left w:val="single" w:sz="1" w:space="0" w:color="000000"/>
              <w:bottom w:val="single" w:sz="1" w:space="0" w:color="000000"/>
            </w:tcBorders>
          </w:tcPr>
          <w:p>
            <w:pPr>
              <w:spacing w:lineRule="auto"/>
            </w:pPr>
            <w:r>
              <w:rPr/>
              <w:t xml:space="preserve">56%</w:t>
            </w:r>
          </w:p>
        </w:tc>
        <w:tc>
          <w:tcPr>
            <w:tcBorders>
              <w:top w:val="single" w:sz="1" w:space="0" w:color="000000"/>
              <w:left w:val="single" w:sz="1" w:space="0" w:color="000000"/>
              <w:bottom w:val="single" w:sz="1" w:space="0" w:color="000000"/>
            </w:tcBorders>
          </w:tcPr>
          <w:p>
            <w:pPr>
              <w:spacing w:lineRule="auto"/>
            </w:pPr>
            <w:r>
              <w:rPr/>
              <w:t xml:space="preserve">64%</w:t>
            </w:r>
          </w:p>
        </w:tc>
      </w:tr>
    </w:tbl>
    <w:p>
      <w:pPr>
        <w:spacing w:lineRule="auto"/>
      </w:pPr>
    </w:p>
    <w:p>
      <w:pPr>
        <w:spacing w:line="271" w:before="240" w:lineRule="auto"/>
      </w:pPr>
      <w:bookmarkStart w:id="88" w:name="break_even_profitability_timeline"/>
      <w:r>
        <w:rPr>
          <w:b/>
          <w:sz w:val="33"/>
        </w:rPr>
        <w:t xml:space="preserve">Break-Even &amp; Profitability Timeline</w:t>
      </w:r>
      <w:bookmarkEnd w:id="88"/>
    </w:p>
    <w:p>
      <w:pPr>
        <w:spacing w:after="210" w:lineRule="auto"/>
      </w:pPr>
      <w:r>
        <w:rPr>
          <w:b/>
        </w:rPr>
        <w:t xml:space="preserve">Operating Break-Even</w:t>
      </w:r>
      <w:r>
        <w:rPr/>
        <w:t xml:space="preserve">: Q4 Year 2 / Q1 Year 3</w:t>
      </w:r>
    </w:p>
    <w:p>
      <w:pPr>
        <w:numPr>
          <w:ilvl w:val="0"/>
          <w:numId w:val="110"/>
        </w:numPr>
        <w:spacing w:lineRule="auto"/>
      </w:pPr>
      <w:r>
        <w:rPr>
          <w:rFonts w:eastAsia="Georgia" w:cs="Georgia" w:ascii="Georgia" w:hAnsi="Georgia"/>
        </w:rPr>
        <w:t xml:space="preserve">Dealer count: ~200–250</w:t>
      </w:r>
    </w:p>
    <w:p>
      <w:pPr>
        <w:numPr>
          <w:ilvl w:val="0"/>
          <w:numId w:val="110"/>
        </w:numPr>
        <w:spacing w:lineRule="auto"/>
      </w:pPr>
      <w:r>
        <w:rPr>
          <w:rFonts w:eastAsia="Georgia" w:cs="Georgia" w:ascii="Georgia" w:hAnsi="Georgia"/>
        </w:rPr>
        <w:t xml:space="preserve">Monthly run rate: ~$1M revenue</w:t>
      </w:r>
    </w:p>
    <w:p>
      <w:pPr>
        <w:spacing w:after="210" w:lineRule="auto"/>
      </w:pPr>
      <w:r>
        <w:rPr>
          <w:b/>
        </w:rPr>
        <w:t xml:space="preserve">Cash Flow Positive</w:t>
      </w:r>
      <w:r>
        <w:rPr>
          <w:rFonts w:eastAsia="Georgia" w:cs="Georgia" w:ascii="Georgia" w:hAnsi="Georgia"/>
        </w:rPr>
        <w:t xml:space="preserve">: Q2–Q3 Year 3</w:t>
      </w:r>
    </w:p>
    <w:p>
      <w:pPr>
        <w:numPr>
          <w:ilvl w:val="0"/>
          <w:numId w:val="111"/>
        </w:numPr>
        <w:spacing w:lineRule="auto"/>
      </w:pPr>
      <w:r>
        <w:rPr/>
        <w:t xml:space="preserve">Working capital management; upfront lender integrations</w:t>
      </w:r>
    </w:p>
    <w:p>
      <w:pPr>
        <w:spacing w:after="210" w:lineRule="auto"/>
      </w:pPr>
      <w:r>
        <w:rPr>
          <w:b/>
        </w:rPr>
        <w:t xml:space="preserve">Cumulative Break-Even</w:t>
      </w:r>
      <w:r>
        <w:rPr/>
        <w:t xml:space="preserve">: Q4 Year 3</w:t>
      </w:r>
    </w:p>
    <w:p>
      <w:pPr>
        <w:numPr>
          <w:ilvl w:val="0"/>
          <w:numId w:val="112"/>
        </w:numPr>
        <w:spacing w:lineRule="auto"/>
      </w:pPr>
      <w:r>
        <w:rPr/>
        <w:t xml:space="preserve">Cumulative losses recovered</w:t>
      </w:r>
    </w:p>
    <w:p>
      <w:pPr>
        <w:spacing w:line="271" w:before="240" w:lineRule="auto"/>
      </w:pPr>
      <w:bookmarkStart w:id="89" w:name="scenario_analysis"/>
      <w:r>
        <w:rPr>
          <w:b/>
          <w:sz w:val="33"/>
        </w:rPr>
        <w:t xml:space="preserve">Scenario Analysis</w:t>
      </w:r>
      <w:bookmarkEnd w:id="89"/>
    </w:p>
    <w:p>
      <w:pPr>
        <w:spacing w:after="210" w:lineRule="auto"/>
      </w:pPr>
      <w:r>
        <w:rPr>
          <w:b/>
        </w:rPr>
        <w:t xml:space="preserve">Downside Case</w:t>
      </w:r>
      <w:r>
        <w:rPr>
          <w:rFonts w:eastAsia="Georgia" w:cs="Georgia" w:ascii="Georgia" w:hAnsi="Georgia"/>
        </w:rPr>
        <w:t xml:space="preserve"> (20–30% lower dealer adoption; 1.5% success fee)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Year</w:t>
            </w:r>
          </w:p>
        </w:tc>
        <w:tc>
          <w:tcPr>
            <w:tcBorders>
              <w:top w:val="single" w:sz="1" w:space="0" w:color="000000"/>
              <w:left w:val="single" w:sz="1" w:space="0" w:color="000000"/>
              <w:bottom w:val="single" w:sz="1" w:space="0" w:color="000000"/>
            </w:tcBorders>
          </w:tcPr>
          <w:p>
            <w:pPr>
              <w:spacing w:lineRule="auto"/>
            </w:pPr>
            <w:r>
              <w:rPr/>
              <w:t xml:space="preserve">Dealers</w:t>
            </w:r>
          </w:p>
        </w:tc>
        <w:tc>
          <w:tcPr>
            <w:tcBorders>
              <w:top w:val="single" w:sz="1" w:space="0" w:color="000000"/>
              <w:left w:val="single" w:sz="1" w:space="0" w:color="000000"/>
              <w:bottom w:val="single" w:sz="1" w:space="0" w:color="000000"/>
            </w:tcBorders>
          </w:tcPr>
          <w:p>
            <w:pPr>
              <w:spacing w:lineRule="auto"/>
            </w:pPr>
            <w:r>
              <w:rPr/>
              <w:t xml:space="preserve">Revenue</w:t>
            </w:r>
          </w:p>
        </w:tc>
        <w:tc>
          <w:tcPr>
            <w:tcBorders>
              <w:top w:val="single" w:sz="1" w:space="0" w:color="000000"/>
              <w:left w:val="single" w:sz="1" w:space="0" w:color="000000"/>
              <w:bottom w:val="single" w:sz="1" w:space="0" w:color="000000"/>
            </w:tcBorders>
          </w:tcPr>
          <w:p>
            <w:pPr>
              <w:spacing w:lineRule="auto"/>
            </w:pPr>
            <w:r>
              <w:rPr/>
              <w:t xml:space="preserve">EBITDA</w:t>
            </w:r>
          </w:p>
        </w:tc>
        <w:tc>
          <w:tcPr>
            <w:tcBorders>
              <w:top w:val="single" w:sz="1" w:space="0" w:color="000000"/>
              <w:left w:val="single" w:sz="1" w:space="0" w:color="000000"/>
              <w:bottom w:val="single" w:sz="1" w:space="0" w:color="000000"/>
            </w:tcBorders>
          </w:tcPr>
          <w:p>
            <w:pPr>
              <w:spacing w:lineRule="auto"/>
            </w:pPr>
            <w:r>
              <w:rPr/>
              <w:t xml:space="preserve">Margin</w:t>
            </w:r>
          </w:p>
        </w:tc>
      </w:tr>
      <w:tr>
        <w:trPr>
          <w:cantSplit/>
        </w:trPr>
        <w:tc>
          <w:tcPr>
            <w:tcBorders>
              <w:top w:val="single" w:sz="1" w:space="0" w:color="000000"/>
              <w:bottom w:val="single" w:sz="1" w:space="0" w:color="000000"/>
            </w:tcBorders>
          </w:tcPr>
          <w:p>
            <w:pPr>
              <w:spacing w:lineRule="auto"/>
            </w:pPr>
            <w:r>
              <w:rPr>
                <w:b/>
              </w:rPr>
              <w:t xml:space="preserve">Year 5</w:t>
            </w:r>
          </w:p>
        </w:tc>
        <w:tc>
          <w:tcPr>
            <w:tcBorders>
              <w:top w:val="single" w:sz="1" w:space="0" w:color="000000"/>
              <w:left w:val="single" w:sz="1" w:space="0" w:color="000000"/>
              <w:bottom w:val="single" w:sz="1" w:space="0" w:color="000000"/>
            </w:tcBorders>
          </w:tcPr>
          <w:p>
            <w:pPr>
              <w:spacing w:lineRule="auto"/>
            </w:pPr>
            <w:r>
              <w:rPr/>
              <w:t xml:space="preserve">800</w:t>
            </w:r>
          </w:p>
        </w:tc>
        <w:tc>
          <w:tcPr>
            <w:tcBorders>
              <w:top w:val="single" w:sz="1" w:space="0" w:color="000000"/>
              <w:left w:val="single" w:sz="1" w:space="0" w:color="000000"/>
              <w:bottom w:val="single" w:sz="1" w:space="0" w:color="000000"/>
            </w:tcBorders>
          </w:tcPr>
          <w:p>
            <w:pPr>
              <w:spacing w:lineRule="auto"/>
            </w:pPr>
            <w:r>
              <w:rPr/>
              <w:t xml:space="preserve">$55M</w:t>
            </w:r>
          </w:p>
        </w:tc>
        <w:tc>
          <w:tcPr>
            <w:tcBorders>
              <w:top w:val="single" w:sz="1" w:space="0" w:color="000000"/>
              <w:left w:val="single" w:sz="1" w:space="0" w:color="000000"/>
              <w:bottom w:val="single" w:sz="1" w:space="0" w:color="000000"/>
            </w:tcBorders>
          </w:tcPr>
          <w:p>
            <w:pPr>
              <w:spacing w:lineRule="auto"/>
            </w:pPr>
            <w:r>
              <w:rPr/>
              <w:t xml:space="preserve">$20M</w:t>
            </w:r>
          </w:p>
        </w:tc>
        <w:tc>
          <w:tcPr>
            <w:tcBorders>
              <w:top w:val="single" w:sz="1" w:space="0" w:color="000000"/>
              <w:left w:val="single" w:sz="1" w:space="0" w:color="000000"/>
              <w:bottom w:val="single" w:sz="1" w:space="0" w:color="000000"/>
            </w:tcBorders>
          </w:tcPr>
          <w:p>
            <w:pPr>
              <w:spacing w:lineRule="auto"/>
            </w:pPr>
            <w:r>
              <w:rPr/>
              <w:t xml:space="preserve">36%</w:t>
            </w:r>
          </w:p>
        </w:tc>
      </w:tr>
    </w:tbl>
    <w:p>
      <w:pPr>
        <w:spacing w:lineRule="auto"/>
      </w:pPr>
    </w:p>
    <w:p>
      <w:pPr>
        <w:spacing w:after="210" w:lineRule="auto"/>
      </w:pPr>
      <w:r>
        <w:rPr>
          <w:i/>
        </w:rPr>
        <w:t xml:space="preserve">Implication</w:t>
      </w:r>
      <w:r>
        <w:rPr/>
        <w:t xml:space="preserve">: Still highly profitable; extended break-even by 6 months</w:t>
      </w:r>
    </w:p>
    <w:p>
      <w:pPr>
        <w:spacing w:after="210" w:lineRule="auto"/>
      </w:pPr>
      <w:r>
        <w:rPr>
          <w:b/>
        </w:rPr>
        <w:t xml:space="preserve">Upside Case</w:t>
      </w:r>
      <w:r>
        <w:rPr/>
        <w:t xml:space="preserve"> (Higher dealer adoption; 2.5% success fee; analytics revenue)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Year</w:t>
            </w:r>
          </w:p>
        </w:tc>
        <w:tc>
          <w:tcPr>
            <w:tcBorders>
              <w:top w:val="single" w:sz="1" w:space="0" w:color="000000"/>
              <w:left w:val="single" w:sz="1" w:space="0" w:color="000000"/>
              <w:bottom w:val="single" w:sz="1" w:space="0" w:color="000000"/>
            </w:tcBorders>
          </w:tcPr>
          <w:p>
            <w:pPr>
              <w:spacing w:lineRule="auto"/>
            </w:pPr>
            <w:r>
              <w:rPr/>
              <w:t xml:space="preserve">Dealers</w:t>
            </w:r>
          </w:p>
        </w:tc>
        <w:tc>
          <w:tcPr>
            <w:tcBorders>
              <w:top w:val="single" w:sz="1" w:space="0" w:color="000000"/>
              <w:left w:val="single" w:sz="1" w:space="0" w:color="000000"/>
              <w:bottom w:val="single" w:sz="1" w:space="0" w:color="000000"/>
            </w:tcBorders>
          </w:tcPr>
          <w:p>
            <w:pPr>
              <w:spacing w:lineRule="auto"/>
            </w:pPr>
            <w:r>
              <w:rPr/>
              <w:t xml:space="preserve">Revenue</w:t>
            </w:r>
          </w:p>
        </w:tc>
        <w:tc>
          <w:tcPr>
            <w:tcBorders>
              <w:top w:val="single" w:sz="1" w:space="0" w:color="000000"/>
              <w:left w:val="single" w:sz="1" w:space="0" w:color="000000"/>
              <w:bottom w:val="single" w:sz="1" w:space="0" w:color="000000"/>
            </w:tcBorders>
          </w:tcPr>
          <w:p>
            <w:pPr>
              <w:spacing w:lineRule="auto"/>
            </w:pPr>
            <w:r>
              <w:rPr/>
              <w:t xml:space="preserve">EBITDA</w:t>
            </w:r>
          </w:p>
        </w:tc>
        <w:tc>
          <w:tcPr>
            <w:tcBorders>
              <w:top w:val="single" w:sz="1" w:space="0" w:color="000000"/>
              <w:left w:val="single" w:sz="1" w:space="0" w:color="000000"/>
              <w:bottom w:val="single" w:sz="1" w:space="0" w:color="000000"/>
            </w:tcBorders>
          </w:tcPr>
          <w:p>
            <w:pPr>
              <w:spacing w:lineRule="auto"/>
            </w:pPr>
            <w:r>
              <w:rPr/>
              <w:t xml:space="preserve">Margin</w:t>
            </w:r>
          </w:p>
        </w:tc>
      </w:tr>
      <w:tr>
        <w:trPr>
          <w:cantSplit/>
        </w:trPr>
        <w:tc>
          <w:tcPr>
            <w:tcBorders>
              <w:top w:val="single" w:sz="1" w:space="0" w:color="000000"/>
              <w:bottom w:val="single" w:sz="1" w:space="0" w:color="000000"/>
            </w:tcBorders>
          </w:tcPr>
          <w:p>
            <w:pPr>
              <w:spacing w:lineRule="auto"/>
            </w:pPr>
            <w:r>
              <w:rPr>
                <w:b/>
              </w:rPr>
              <w:t xml:space="preserve">Year 5</w:t>
            </w:r>
          </w:p>
        </w:tc>
        <w:tc>
          <w:tcPr>
            <w:tcBorders>
              <w:top w:val="single" w:sz="1" w:space="0" w:color="000000"/>
              <w:left w:val="single" w:sz="1" w:space="0" w:color="000000"/>
              <w:bottom w:val="single" w:sz="1" w:space="0" w:color="000000"/>
            </w:tcBorders>
          </w:tcPr>
          <w:p>
            <w:pPr>
              <w:spacing w:lineRule="auto"/>
            </w:pPr>
            <w:r>
              <w:rPr/>
              <w:t xml:space="preserve">1,500</w:t>
            </w:r>
          </w:p>
        </w:tc>
        <w:tc>
          <w:tcPr>
            <w:tcBorders>
              <w:top w:val="single" w:sz="1" w:space="0" w:color="000000"/>
              <w:left w:val="single" w:sz="1" w:space="0" w:color="000000"/>
              <w:bottom w:val="single" w:sz="1" w:space="0" w:color="000000"/>
            </w:tcBorders>
          </w:tcPr>
          <w:p>
            <w:pPr>
              <w:spacing w:lineRule="auto"/>
            </w:pPr>
            <w:r>
              <w:rPr/>
              <w:t xml:space="preserve">$145M</w:t>
            </w:r>
          </w:p>
        </w:tc>
        <w:tc>
          <w:tcPr>
            <w:tcBorders>
              <w:top w:val="single" w:sz="1" w:space="0" w:color="000000"/>
              <w:left w:val="single" w:sz="1" w:space="0" w:color="000000"/>
              <w:bottom w:val="single" w:sz="1" w:space="0" w:color="000000"/>
            </w:tcBorders>
          </w:tcPr>
          <w:p>
            <w:pPr>
              <w:spacing w:lineRule="auto"/>
            </w:pPr>
            <w:r>
              <w:rPr/>
              <w:t xml:space="preserve">$85M</w:t>
            </w:r>
          </w:p>
        </w:tc>
        <w:tc>
          <w:tcPr>
            <w:tcBorders>
              <w:top w:val="single" w:sz="1" w:space="0" w:color="000000"/>
              <w:left w:val="single" w:sz="1" w:space="0" w:color="000000"/>
              <w:bottom w:val="single" w:sz="1" w:space="0" w:color="000000"/>
            </w:tcBorders>
          </w:tcPr>
          <w:p>
            <w:pPr>
              <w:spacing w:lineRule="auto"/>
            </w:pPr>
            <w:r>
              <w:rPr/>
              <w:t xml:space="preserve">59%</w:t>
            </w:r>
          </w:p>
        </w:tc>
      </w:tr>
    </w:tbl>
    <w:p>
      <w:pPr>
        <w:spacing w:lineRule="auto"/>
      </w:pPr>
    </w:p>
    <w:p>
      <w:pPr>
        <w:spacing w:after="210" w:lineRule="auto"/>
      </w:pPr>
      <w:r>
        <w:rPr>
          <w:i/>
        </w:rPr>
        <w:t xml:space="preserve">Implication</w:t>
      </w:r>
      <w:r>
        <w:rPr/>
        <w:t xml:space="preserve">: Accelerated scale; faster profitability</w:t>
      </w:r>
    </w:p>
    <w:p>
      <w:pPr>
        <w:spacing w:line="271" w:before="240" w:lineRule="auto"/>
      </w:pPr>
      <w:bookmarkStart w:id="90" w:name="long_term_potential_10_year_outlook"/>
      <w:r>
        <w:rPr>
          <w:b/>
          <w:sz w:val="33"/>
        </w:rPr>
        <w:t xml:space="preserve">Long-Term Potential (10-Year Outlook)</w:t>
      </w:r>
      <w:bookmarkEnd w:id="90"/>
    </w:p>
    <w:p>
      <w:pPr>
        <w:spacing w:after="210" w:lineRule="auto"/>
      </w:pPr>
      <w:r>
        <w:rPr>
          <w:rFonts w:eastAsia="Georgia" w:cs="Georgia" w:ascii="Georgia" w:hAnsi="Georgia"/>
        </w:rPr>
        <w:t xml:space="preserve">Assuming continued 30–40% annual growth post-Year 5:</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Year 7–8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Year 9–10</w:t>
            </w:r>
          </w:p>
        </w:tc>
      </w:tr>
      <w:tr>
        <w:trPr>
          <w:cantSplit/>
        </w:trPr>
        <w:tc>
          <w:tcPr>
            <w:tcBorders>
              <w:top w:val="single" w:sz="1" w:space="0" w:color="000000"/>
              <w:bottom w:val="single" w:sz="1" w:space="0" w:color="000000"/>
            </w:tcBorders>
          </w:tcPr>
          <w:p>
            <w:pPr>
              <w:spacing w:lineRule="auto"/>
            </w:pPr>
            <w:r>
              <w:rPr>
                <w:b/>
              </w:rPr>
              <w:t xml:space="preserve">Dealer Count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~3,000+</w:t>
            </w:r>
          </w:p>
        </w:tc>
      </w:tr>
      <w:tr>
        <w:trPr>
          <w:cantSplit/>
        </w:trPr>
        <w:tc>
          <w:tcPr>
            <w:tcBorders>
              <w:top w:val="single" w:sz="1" w:space="0" w:color="000000"/>
              <w:bottom w:val="single" w:sz="1" w:space="0" w:color="000000"/>
            </w:tcBorders>
          </w:tcPr>
          <w:p>
            <w:pPr>
              <w:spacing w:lineRule="auto"/>
            </w:pPr>
            <w:r>
              <w:rPr>
                <w:b/>
              </w:rPr>
              <w:t xml:space="preserve">Annual Revenue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$200M–$250M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$350M–$500M</w:t>
            </w:r>
          </w:p>
        </w:tc>
      </w:tr>
      <w:tr>
        <w:trPr>
          <w:cantSplit/>
        </w:trPr>
        <w:tc>
          <w:tcPr>
            <w:tcBorders>
              <w:top w:val="single" w:sz="1" w:space="0" w:color="000000"/>
              <w:bottom w:val="single" w:sz="1" w:space="0" w:color="000000"/>
            </w:tcBorders>
          </w:tcPr>
          <w:p>
            <w:pPr>
              <w:spacing w:lineRule="auto"/>
            </w:pPr>
            <w:r>
              <w:rPr>
                <w:b/>
              </w:rPr>
              <w:t xml:space="preserve">EBITDA Margin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50–55%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55–65%</w:t>
            </w:r>
          </w:p>
        </w:tc>
      </w:tr>
      <w:tr>
        <w:trPr>
          <w:cantSplit/>
        </w:trPr>
        <w:tc>
          <w:tcPr>
            <w:tcBorders>
              <w:top w:val="single" w:sz="1" w:space="0" w:color="000000"/>
              <w:bottom w:val="single" w:sz="1" w:space="0" w:color="000000"/>
            </w:tcBorders>
          </w:tcPr>
          <w:p>
            <w:pPr>
              <w:spacing w:lineRule="auto"/>
            </w:pPr>
            <w:r>
              <w:rPr>
                <w:b/>
              </w:rPr>
              <w:t xml:space="preserve">Potential Enterprise Value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$2B–$3B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$4B–$8B</w:t>
            </w:r>
          </w:p>
        </w:tc>
      </w:tr>
    </w:tbl>
    <w:p>
      <w:pPr>
        <w:spacing w:lineRule="auto"/>
      </w:pPr>
    </w:p>
    <w:p>
      <w:pPr>
        <w:spacing w:after="210" w:lineRule="auto"/>
      </w:pPr>
      <w:r>
        <w:rPr>
          <w:rFonts w:eastAsia="Georgia" w:cs="Georgia" w:ascii="Georgia" w:hAnsi="Georgia"/>
        </w:rPr>
        <w:t xml:space="preserve">(Assumes 8–12x EBITDA multiple for late-stage fintech infrastructure)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1" w:name="bm_16_team_execution"/>
      <w:r>
        <w:rPr>
          <w:b/>
          <w:sz w:val="42"/>
        </w:rPr>
        <w:t xml:space="preserve">16. TEAM &amp; EXECUTION</w:t>
      </w:r>
      <w:bookmarkEnd w:id="91"/>
    </w:p>
    <w:p>
      <w:pPr>
        <w:spacing w:line="271" w:before="240" w:lineRule="auto"/>
      </w:pPr>
      <w:bookmarkStart w:id="92" w:name="leadership_qualifications_template"/>
      <w:r>
        <w:rPr>
          <w:b/>
          <w:sz w:val="33"/>
        </w:rPr>
        <w:t xml:space="preserve">Leadership Qualifications (Template)</w:t>
      </w:r>
      <w:bookmarkEnd w:id="92"/>
    </w:p>
    <w:p>
      <w:pPr>
        <w:spacing w:after="210" w:lineRule="auto"/>
      </w:pPr>
      <w:r>
        <w:rPr>
          <w:i/>
        </w:rPr>
        <w:t xml:space="preserve">The team should include:</w:t>
      </w:r>
    </w:p>
    <w:p>
      <w:pPr>
        <w:numPr>
          <w:ilvl w:val="0"/>
          <w:numId w:val="113"/>
        </w:numPr>
        <w:spacing w:lineRule="auto"/>
      </w:pPr>
      <w:r>
        <w:rPr>
          <w:b/>
        </w:rPr>
        <w:t xml:space="preserve">Founder/CEO</w:t>
      </w:r>
      <w:r>
        <w:rPr/>
        <w:t xml:space="preserve">: 10+ years fintech, lending, or ag-tech experience; shipped products at scale</w:t>
      </w:r>
    </w:p>
    <w:p>
      <w:pPr>
        <w:numPr>
          <w:ilvl w:val="0"/>
          <w:numId w:val="113"/>
        </w:numPr>
        <w:spacing w:lineRule="auto"/>
      </w:pPr>
      <w:r>
        <w:rPr>
          <w:b/>
        </w:rPr>
        <w:t xml:space="preserve">CTO/VP Engineering</w:t>
      </w:r>
      <w:r>
        <w:rPr/>
        <w:t xml:space="preserve">: 8+ years infrastructure/marketplace platform development; SOC 2 / compliance background</w:t>
      </w:r>
    </w:p>
    <w:p>
      <w:pPr>
        <w:numPr>
          <w:ilvl w:val="0"/>
          <w:numId w:val="113"/>
        </w:numPr>
        <w:spacing w:lineRule="auto"/>
      </w:pPr>
      <w:r>
        <w:rPr>
          <w:b/>
        </w:rPr>
        <w:t xml:space="preserve">VP Sales/Business Development</w:t>
      </w:r>
      <w:r>
        <w:rPr/>
        <w:t xml:space="preserve">: 7+ years rural/dealer channel sales; existing lender/OEM relationships</w:t>
      </w:r>
    </w:p>
    <w:p>
      <w:pPr>
        <w:numPr>
          <w:ilvl w:val="0"/>
          <w:numId w:val="113"/>
        </w:numPr>
        <w:spacing w:lineRule="auto"/>
      </w:pPr>
      <w:r>
        <w:rPr>
          <w:b/>
        </w:rPr>
        <w:t xml:space="preserve">VP Compliance &amp; Legal</w:t>
      </w:r>
      <w:r>
        <w:rPr/>
        <w:t xml:space="preserve">: 5+ years lending compliance (ECOA, FCRA, GLBA); ag lending background preferred</w:t>
      </w:r>
    </w:p>
    <w:p>
      <w:pPr>
        <w:numPr>
          <w:ilvl w:val="0"/>
          <w:numId w:val="113"/>
        </w:numPr>
        <w:spacing w:lineRule="auto"/>
      </w:pPr>
      <w:r>
        <w:rPr>
          <w:b/>
        </w:rPr>
        <w:t xml:space="preserve">VP Product</w:t>
      </w:r>
      <w:r>
        <w:rPr/>
        <w:t xml:space="preserve">: 7+ years B2B SaaS product management; marketplace dynamics experience</w:t>
      </w:r>
    </w:p>
    <w:p>
      <w:pPr>
        <w:spacing w:line="271" w:before="240" w:lineRule="auto"/>
      </w:pPr>
      <w:bookmarkStart w:id="93" w:name="previous_work_traction"/>
      <w:r>
        <w:rPr>
          <w:b/>
          <w:sz w:val="33"/>
        </w:rPr>
        <w:t xml:space="preserve">Previous Work &amp; Traction</w:t>
      </w:r>
      <w:bookmarkEnd w:id="93"/>
    </w:p>
    <w:p>
      <w:pPr>
        <w:spacing w:after="210" w:lineRule="auto"/>
      </w:pPr>
      <w:r>
        <w:rPr>
          <w:i/>
        </w:rPr>
        <w:t xml:space="preserve">To demonstrate execution capability, provide:</w:t>
      </w:r>
    </w:p>
    <w:p>
      <w:pPr>
        <w:numPr>
          <w:ilvl w:val="0"/>
          <w:numId w:val="114"/>
        </w:numPr>
        <w:spacing w:lineRule="auto"/>
      </w:pPr>
      <w:r>
        <w:rPr/>
        <w:t xml:space="preserve">Products previously shipped (scale, users, outcomes)</w:t>
      </w:r>
    </w:p>
    <w:p>
      <w:pPr>
        <w:numPr>
          <w:ilvl w:val="0"/>
          <w:numId w:val="114"/>
        </w:numPr>
        <w:spacing w:lineRule="auto"/>
      </w:pPr>
      <w:r>
        <w:rPr/>
        <w:t xml:space="preserve">Revenue generated in prior roles</w:t>
      </w:r>
    </w:p>
    <w:p>
      <w:pPr>
        <w:numPr>
          <w:ilvl w:val="0"/>
          <w:numId w:val="114"/>
        </w:numPr>
        <w:spacing w:lineRule="auto"/>
      </w:pPr>
      <w:r>
        <w:rPr/>
        <w:t xml:space="preserve">Relevant partnerships or customer relationships (OEM, lender, dealer networks)</w:t>
      </w:r>
    </w:p>
    <w:p>
      <w:pPr>
        <w:numPr>
          <w:ilvl w:val="0"/>
          <w:numId w:val="114"/>
        </w:numPr>
        <w:spacing w:lineRule="auto"/>
      </w:pPr>
      <w:r>
        <w:rPr/>
        <w:t xml:space="preserve">Exits or successful funding rounds managed</w:t>
      </w:r>
    </w:p>
    <w:p>
      <w:pPr>
        <w:spacing w:line="271" w:before="240" w:lineRule="auto"/>
      </w:pPr>
      <w:bookmarkStart w:id="94" w:name="advisory_board_recommended"/>
      <w:r>
        <w:rPr>
          <w:b/>
          <w:sz w:val="33"/>
        </w:rPr>
        <w:t xml:space="preserve">Advisory Board (Recommended)</w:t>
      </w:r>
      <w:bookmarkEnd w:id="94"/>
    </w:p>
    <w:p>
      <w:pPr>
        <w:spacing w:after="210" w:lineRule="auto"/>
      </w:pPr>
      <w:r>
        <w:rPr/>
        <w:t xml:space="preserve">Key advisory relationships that signal credibility:</w:t>
      </w:r>
    </w:p>
    <w:p>
      <w:pPr>
        <w:numPr>
          <w:ilvl w:val="0"/>
          <w:numId w:val="115"/>
        </w:numPr>
        <w:spacing w:lineRule="auto"/>
      </w:pPr>
      <w:r>
        <w:rPr/>
        <w:t xml:space="preserve">Former Farm Credit or ag-bank lending executive</w:t>
      </w:r>
    </w:p>
    <w:p>
      <w:pPr>
        <w:numPr>
          <w:ilvl w:val="0"/>
          <w:numId w:val="115"/>
        </w:numPr>
        <w:spacing w:lineRule="auto"/>
      </w:pPr>
      <w:r>
        <w:rPr/>
        <w:t xml:space="preserve">Equipment dealer (20+ years in business)</w:t>
      </w:r>
    </w:p>
    <w:p>
      <w:pPr>
        <w:numPr>
          <w:ilvl w:val="0"/>
          <w:numId w:val="115"/>
        </w:numPr>
        <w:spacing w:lineRule="auto"/>
      </w:pPr>
      <w:r>
        <w:rPr/>
        <w:t xml:space="preserve">OEM financing director (John Deere, CNH, or similar)</w:t>
      </w:r>
    </w:p>
    <w:p>
      <w:pPr>
        <w:numPr>
          <w:ilvl w:val="0"/>
          <w:numId w:val="115"/>
        </w:numPr>
        <w:spacing w:lineRule="auto"/>
      </w:pPr>
      <w:r>
        <w:rPr/>
        <w:t xml:space="preserve">Fintech/marketplace founder (proven scaling experience)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5" w:name="bm_17_milestones_traction_24_mont_c28d35"/>
      <w:r>
        <w:rPr>
          <w:b/>
          <w:sz w:val="42"/>
        </w:rPr>
        <w:t xml:space="preserve">17. MILESTONES &amp; TRACTION (24-Month Roadmap)</w:t>
      </w:r>
      <w:bookmarkEnd w:id="95"/>
    </w:p>
    <w:p>
      <w:pPr>
        <w:spacing w:line="271" w:before="240" w:lineRule="auto"/>
      </w:pPr>
      <w:bookmarkStart w:id="96" w:name="quarterly_milestones"/>
      <w:r>
        <w:rPr>
          <w:b/>
          <w:sz w:val="33"/>
        </w:rPr>
        <w:t xml:space="preserve">Quarterly Milestones</w:t>
      </w:r>
      <w:bookmarkEnd w:id="96"/>
    </w:p>
    <w:p>
      <w:pPr>
        <w:spacing w:after="210" w:lineRule="auto"/>
      </w:pPr>
      <w:r>
        <w:rPr>
          <w:b/>
        </w:rPr>
        <w:t xml:space="preserve">Q1 Year 1</w:t>
      </w:r>
    </w:p>
    <w:p>
      <w:pPr>
        <w:numPr>
          <w:ilvl w:val="0"/>
          <w:numId w:val="116"/>
        </w:numPr>
        <w:spacing w:lineRule="auto"/>
      </w:pPr>
      <w:r>
        <w:rPr/>
        <w:t xml:space="preserve">MVP Dealer Portal complete</w:t>
      </w:r>
    </w:p>
    <w:p>
      <w:pPr>
        <w:numPr>
          <w:ilvl w:val="0"/>
          <w:numId w:val="116"/>
        </w:numPr>
        <w:spacing w:lineRule="auto"/>
      </w:pPr>
      <w:r>
        <w:rPr>
          <w:rFonts w:eastAsia="Georgia" w:cs="Georgia" w:ascii="Georgia" w:hAnsi="Georgia"/>
        </w:rPr>
        <w:t xml:space="preserve">2–3 lender integrations (API) in progress</w:t>
      </w:r>
    </w:p>
    <w:p>
      <w:pPr>
        <w:numPr>
          <w:ilvl w:val="0"/>
          <w:numId w:val="116"/>
        </w:numPr>
        <w:spacing w:lineRule="auto"/>
      </w:pPr>
      <w:r>
        <w:rPr/>
        <w:t xml:space="preserve">Design partner recruitment underway</w:t>
      </w:r>
    </w:p>
    <w:p>
      <w:pPr>
        <w:numPr>
          <w:ilvl w:val="0"/>
          <w:numId w:val="116"/>
        </w:numPr>
        <w:spacing w:lineRule="auto"/>
      </w:pPr>
      <w:r>
        <w:rPr/>
        <w:t xml:space="preserve">Compliance documentation (SOC 2 readiness)</w:t>
      </w:r>
    </w:p>
    <w:p>
      <w:pPr>
        <w:spacing w:after="210" w:lineRule="auto"/>
      </w:pPr>
      <w:r>
        <w:rPr>
          <w:b/>
        </w:rPr>
        <w:t xml:space="preserve">Q2 Year 1</w:t>
      </w:r>
    </w:p>
    <w:p>
      <w:pPr>
        <w:numPr>
          <w:ilvl w:val="0"/>
          <w:numId w:val="117"/>
        </w:numPr>
        <w:spacing w:lineRule="auto"/>
      </w:pPr>
      <w:r>
        <w:rPr>
          <w:rFonts w:eastAsia="Georgia" w:cs="Georgia" w:ascii="Georgia" w:hAnsi="Georgia"/>
        </w:rPr>
        <w:t xml:space="preserve">10–12 design partner dealers live</w:t>
      </w:r>
    </w:p>
    <w:p>
      <w:pPr>
        <w:numPr>
          <w:ilvl w:val="0"/>
          <w:numId w:val="117"/>
        </w:numPr>
        <w:spacing w:lineRule="auto"/>
      </w:pPr>
      <w:r>
        <w:rPr>
          <w:rFonts w:eastAsia="Georgia" w:cs="Georgia" w:ascii="Georgia" w:hAnsi="Georgia"/>
        </w:rPr>
        <w:t xml:space="preserve">3–4 lenders integrated and testing</w:t>
      </w:r>
    </w:p>
    <w:p>
      <w:pPr>
        <w:numPr>
          <w:ilvl w:val="0"/>
          <w:numId w:val="117"/>
        </w:numPr>
        <w:spacing w:lineRule="auto"/>
      </w:pPr>
      <w:r>
        <w:rPr>
          <w:rFonts w:eastAsia="Georgia" w:cs="Georgia" w:ascii="Georgia" w:hAnsi="Georgia"/>
        </w:rPr>
        <w:t xml:space="preserve">First funded loans (50–100)</w:t>
      </w:r>
    </w:p>
    <w:p>
      <w:pPr>
        <w:numPr>
          <w:ilvl w:val="0"/>
          <w:numId w:val="117"/>
        </w:numPr>
        <w:spacing w:lineRule="auto"/>
      </w:pPr>
      <w:r>
        <w:rPr/>
        <w:t xml:space="preserve">Product feedback loops active</w:t>
      </w:r>
    </w:p>
    <w:p>
      <w:pPr>
        <w:spacing w:after="210" w:lineRule="auto"/>
      </w:pPr>
      <w:r>
        <w:rPr>
          <w:b/>
        </w:rPr>
        <w:t xml:space="preserve">Q3 Year 1</w:t>
      </w:r>
    </w:p>
    <w:p>
      <w:pPr>
        <w:numPr>
          <w:ilvl w:val="0"/>
          <w:numId w:val="118"/>
        </w:numPr>
        <w:spacing w:lineRule="auto"/>
      </w:pPr>
      <w:r>
        <w:rPr>
          <w:rFonts w:eastAsia="Georgia" w:cs="Georgia" w:ascii="Georgia" w:hAnsi="Georgia"/>
        </w:rPr>
        <w:t xml:space="preserve">20 dealers live; $20M–$30M funded volume</w:t>
      </w:r>
    </w:p>
    <w:p>
      <w:pPr>
        <w:numPr>
          <w:ilvl w:val="0"/>
          <w:numId w:val="118"/>
        </w:numPr>
        <w:spacing w:lineRule="auto"/>
      </w:pPr>
      <w:r>
        <w:rPr>
          <w:rFonts w:eastAsia="Georgia" w:cs="Georgia" w:ascii="Georgia" w:hAnsi="Georgia"/>
        </w:rPr>
        <w:t xml:space="preserve">5–6 lenders integrated</w:t>
      </w:r>
    </w:p>
    <w:p>
      <w:pPr>
        <w:numPr>
          <w:ilvl w:val="0"/>
          <w:numId w:val="118"/>
        </w:numPr>
        <w:spacing w:lineRule="auto"/>
      </w:pPr>
      <w:r>
        <w:rPr>
          <w:rFonts w:eastAsia="Georgia" w:cs="Georgia" w:ascii="Georgia" w:hAnsi="Georgia"/>
        </w:rPr>
        <w:t xml:space="preserve">Approval time reduction data: 30–40%</w:t>
      </w:r>
    </w:p>
    <w:p>
      <w:pPr>
        <w:numPr>
          <w:ilvl w:val="0"/>
          <w:numId w:val="118"/>
        </w:numPr>
        <w:spacing w:lineRule="auto"/>
      </w:pPr>
      <w:r>
        <w:rPr/>
        <w:t xml:space="preserve">First OEM pilot conversations</w:t>
      </w:r>
    </w:p>
    <w:p>
      <w:pPr>
        <w:spacing w:after="210" w:lineRule="auto"/>
      </w:pPr>
      <w:r>
        <w:rPr>
          <w:b/>
        </w:rPr>
        <w:t xml:space="preserve">Q4 Year 1</w:t>
      </w:r>
    </w:p>
    <w:p>
      <w:pPr>
        <w:numPr>
          <w:ilvl w:val="0"/>
          <w:numId w:val="119"/>
        </w:numPr>
        <w:spacing w:lineRule="auto"/>
      </w:pPr>
      <w:r>
        <w:rPr>
          <w:rFonts w:eastAsia="Georgia" w:cs="Georgia" w:ascii="Georgia" w:hAnsi="Georgia"/>
        </w:rPr>
        <w:t xml:space="preserve">30–40 dealers; $100M–$150M annual run rate</w:t>
      </w:r>
    </w:p>
    <w:p>
      <w:pPr>
        <w:numPr>
          <w:ilvl w:val="0"/>
          <w:numId w:val="119"/>
        </w:numPr>
        <w:spacing w:lineRule="auto"/>
      </w:pPr>
      <w:r>
        <w:rPr>
          <w:rFonts w:eastAsia="Georgia" w:cs="Georgia" w:ascii="Georgia" w:hAnsi="Georgia"/>
        </w:rPr>
        <w:t xml:space="preserve">6–8 lenders integrated</w:t>
      </w:r>
    </w:p>
    <w:p>
      <w:pPr>
        <w:numPr>
          <w:ilvl w:val="0"/>
          <w:numId w:val="119"/>
        </w:numPr>
        <w:spacing w:lineRule="auto"/>
      </w:pPr>
      <w:r>
        <w:rPr/>
        <w:t xml:space="preserve">Design partner case studies published</w:t>
      </w:r>
    </w:p>
    <w:p>
      <w:pPr>
        <w:numPr>
          <w:ilvl w:val="0"/>
          <w:numId w:val="119"/>
        </w:numPr>
        <w:spacing w:lineRule="auto"/>
      </w:pPr>
      <w:r>
        <w:rPr/>
        <w:t xml:space="preserve">Series A fundraising completed</w:t>
      </w:r>
    </w:p>
    <w:p>
      <w:pPr>
        <w:spacing w:after="210" w:lineRule="auto"/>
      </w:pPr>
      <w:r>
        <w:rPr>
          <w:b/>
        </w:rPr>
        <w:t xml:space="preserve">Q1–Q2 Year 2</w:t>
      </w:r>
    </w:p>
    <w:p>
      <w:pPr>
        <w:numPr>
          <w:ilvl w:val="0"/>
          <w:numId w:val="120"/>
        </w:numPr>
        <w:spacing w:lineRule="auto"/>
      </w:pPr>
      <w:r>
        <w:rPr>
          <w:rFonts w:eastAsia="Georgia" w:cs="Georgia" w:ascii="Georgia" w:hAnsi="Georgia"/>
        </w:rPr>
        <w:t xml:space="preserve">80–100 dealers onboarded (geo expansion to Plains)</w:t>
      </w:r>
    </w:p>
    <w:p>
      <w:pPr>
        <w:numPr>
          <w:ilvl w:val="0"/>
          <w:numId w:val="120"/>
        </w:numPr>
        <w:spacing w:lineRule="auto"/>
      </w:pPr>
      <w:r>
        <w:rPr>
          <w:rFonts w:eastAsia="Georgia" w:cs="Georgia" w:ascii="Georgia" w:hAnsi="Georgia"/>
        </w:rPr>
        <w:t xml:space="preserve">8–10 lenders integrated</w:t>
      </w:r>
    </w:p>
    <w:p>
      <w:pPr>
        <w:numPr>
          <w:ilvl w:val="0"/>
          <w:numId w:val="120"/>
        </w:numPr>
        <w:spacing w:lineRule="auto"/>
      </w:pPr>
      <w:r>
        <w:rPr/>
        <w:t xml:space="preserve">Advanced routing logic deployed (v1 ML)</w:t>
      </w:r>
    </w:p>
    <w:p>
      <w:pPr>
        <w:numPr>
          <w:ilvl w:val="0"/>
          <w:numId w:val="120"/>
        </w:numPr>
        <w:spacing w:lineRule="auto"/>
      </w:pPr>
      <w:r>
        <w:rPr/>
        <w:t xml:space="preserve">OEM pilot live with one major manufacturer</w:t>
      </w:r>
    </w:p>
    <w:p>
      <w:pPr>
        <w:spacing w:after="210" w:lineRule="auto"/>
      </w:pPr>
      <w:r>
        <w:rPr>
          <w:b/>
        </w:rPr>
        <w:t xml:space="preserve">Q3–Q4 Year 2</w:t>
      </w:r>
    </w:p>
    <w:p>
      <w:pPr>
        <w:numPr>
          <w:ilvl w:val="0"/>
          <w:numId w:val="121"/>
        </w:numPr>
        <w:spacing w:lineRule="auto"/>
      </w:pPr>
      <w:r>
        <w:rPr>
          <w:rFonts w:eastAsia="Georgia" w:cs="Georgia" w:ascii="Georgia" w:hAnsi="Georgia"/>
        </w:rPr>
        <w:t xml:space="preserve">150–200 dealers live</w:t>
      </w:r>
    </w:p>
    <w:p>
      <w:pPr>
        <w:numPr>
          <w:ilvl w:val="0"/>
          <w:numId w:val="121"/>
        </w:numPr>
        <w:spacing w:lineRule="auto"/>
      </w:pPr>
      <w:r>
        <w:rPr/>
        <w:t xml:space="preserve">$300M+ funded volume run rate</w:t>
      </w:r>
    </w:p>
    <w:p>
      <w:pPr>
        <w:numPr>
          <w:ilvl w:val="0"/>
          <w:numId w:val="121"/>
        </w:numPr>
        <w:spacing w:lineRule="auto"/>
      </w:pPr>
      <w:r>
        <w:rPr/>
        <w:t xml:space="preserve">12+ lenders integrated</w:t>
      </w:r>
    </w:p>
    <w:p>
      <w:pPr>
        <w:numPr>
          <w:ilvl w:val="0"/>
          <w:numId w:val="121"/>
        </w:numPr>
        <w:spacing w:lineRule="auto"/>
      </w:pPr>
      <w:r>
        <w:rPr/>
        <w:t xml:space="preserve">Lender analytics dashboard live</w:t>
      </w:r>
    </w:p>
    <w:p>
      <w:pPr>
        <w:numPr>
          <w:ilvl w:val="0"/>
          <w:numId w:val="121"/>
        </w:numPr>
        <w:spacing w:lineRule="auto"/>
      </w:pPr>
      <w:r>
        <w:rPr/>
        <w:t xml:space="preserve">Southeast expansion begins</w:t>
      </w:r>
    </w:p>
    <w:p>
      <w:pPr>
        <w:spacing w:after="210" w:lineRule="auto"/>
      </w:pPr>
      <w:r>
        <w:rPr>
          <w:b/>
        </w:rPr>
        <w:t xml:space="preserve">Year 3 (High-Level Targets)</w:t>
      </w:r>
    </w:p>
    <w:p>
      <w:pPr>
        <w:numPr>
          <w:ilvl w:val="0"/>
          <w:numId w:val="122"/>
        </w:numPr>
        <w:spacing w:lineRule="auto"/>
      </w:pPr>
      <w:r>
        <w:rPr>
          <w:rFonts w:eastAsia="Georgia" w:cs="Georgia" w:ascii="Georgia" w:hAnsi="Georgia"/>
        </w:rPr>
        <w:t xml:space="preserve">300–400 dealers; $800M–$1B funded volume</w:t>
      </w:r>
    </w:p>
    <w:p>
      <w:pPr>
        <w:numPr>
          <w:ilvl w:val="0"/>
          <w:numId w:val="122"/>
        </w:numPr>
        <w:spacing w:lineRule="auto"/>
      </w:pPr>
      <w:r>
        <w:rPr/>
        <w:t xml:space="preserve">15+ integrated lenders</w:t>
      </w:r>
    </w:p>
    <w:p>
      <w:pPr>
        <w:numPr>
          <w:ilvl w:val="0"/>
          <w:numId w:val="122"/>
        </w:numPr>
        <w:spacing w:lineRule="auto"/>
      </w:pPr>
      <w:r>
        <w:rPr/>
        <w:t xml:space="preserve">Advanced routing engine (v2) deployed</w:t>
      </w:r>
    </w:p>
    <w:p>
      <w:pPr>
        <w:numPr>
          <w:ilvl w:val="0"/>
          <w:numId w:val="122"/>
        </w:numPr>
        <w:spacing w:lineRule="auto"/>
      </w:pPr>
      <w:r>
        <w:rPr/>
        <w:t xml:space="preserve">Expansion to adjacent geographies (South, Mountain West)</w:t>
      </w:r>
    </w:p>
    <w:p>
      <w:pPr>
        <w:numPr>
          <w:ilvl w:val="0"/>
          <w:numId w:val="122"/>
        </w:numPr>
        <w:spacing w:lineRule="auto"/>
      </w:pPr>
      <w:r>
        <w:rPr/>
        <w:t xml:space="preserve">Potential strategic partnership or investment from OEM</w:t>
      </w:r>
    </w:p>
    <w:p>
      <w:pPr>
        <w:spacing w:line="271" w:before="240" w:lineRule="auto"/>
      </w:pPr>
      <w:bookmarkStart w:id="97" w:name="key_traction_metrics_to_track"/>
      <w:r>
        <w:rPr>
          <w:b/>
          <w:sz w:val="33"/>
        </w:rPr>
        <w:t xml:space="preserve">Key Traction Metrics to Track</w:t>
      </w:r>
      <w:bookmarkEnd w:id="97"/>
    </w:p>
    <w:p>
      <w:pPr>
        <w:spacing w:after="210" w:lineRule="auto"/>
      </w:pPr>
      <w:r>
        <w:rPr>
          <w:b/>
        </w:rPr>
        <w:t xml:space="preserve">Dealer Health:</w:t>
      </w:r>
    </w:p>
    <w:p>
      <w:pPr>
        <w:numPr>
          <w:ilvl w:val="0"/>
          <w:numId w:val="123"/>
        </w:numPr>
        <w:spacing w:lineRule="auto"/>
      </w:pPr>
      <w:r>
        <w:rPr/>
        <w:t xml:space="preserve">Monthly active dealers</w:t>
      </w:r>
    </w:p>
    <w:p>
      <w:pPr>
        <w:numPr>
          <w:ilvl w:val="0"/>
          <w:numId w:val="123"/>
        </w:numPr>
        <w:spacing w:lineRule="auto"/>
      </w:pPr>
      <w:r>
        <w:rPr/>
        <w:t xml:space="preserve">Dealer retention rate (target: &gt;95%)</w:t>
      </w:r>
    </w:p>
    <w:p>
      <w:pPr>
        <w:numPr>
          <w:ilvl w:val="0"/>
          <w:numId w:val="123"/>
        </w:numPr>
        <w:spacing w:lineRule="auto"/>
      </w:pPr>
      <w:r>
        <w:rPr/>
        <w:t xml:space="preserve">Applications submitted per dealer/month</w:t>
      </w:r>
    </w:p>
    <w:p>
      <w:pPr>
        <w:numPr>
          <w:ilvl w:val="0"/>
          <w:numId w:val="123"/>
        </w:numPr>
        <w:spacing w:lineRule="auto"/>
      </w:pPr>
      <w:r>
        <w:rPr/>
        <w:t xml:space="preserve">Dealer NPS and satisfaction</w:t>
      </w:r>
    </w:p>
    <w:p>
      <w:pPr>
        <w:numPr>
          <w:ilvl w:val="0"/>
          <w:numId w:val="123"/>
        </w:numPr>
        <w:spacing w:lineRule="auto"/>
      </w:pPr>
      <w:r>
        <w:rPr/>
        <w:t xml:space="preserve">SaaS ARPU (expansion revenue)</w:t>
      </w:r>
    </w:p>
    <w:p>
      <w:pPr>
        <w:spacing w:after="210" w:lineRule="auto"/>
      </w:pPr>
      <w:r>
        <w:rPr>
          <w:b/>
        </w:rPr>
        <w:t xml:space="preserve">Platform Health:</w:t>
      </w:r>
    </w:p>
    <w:p>
      <w:pPr>
        <w:numPr>
          <w:ilvl w:val="0"/>
          <w:numId w:val="124"/>
        </w:numPr>
        <w:spacing w:lineRule="auto"/>
      </w:pPr>
      <w:r>
        <w:rPr/>
        <w:t xml:space="preserve">Funded loan volume (monthly, quarterly)</w:t>
      </w:r>
    </w:p>
    <w:p>
      <w:pPr>
        <w:numPr>
          <w:ilvl w:val="0"/>
          <w:numId w:val="124"/>
        </w:numPr>
        <w:spacing w:lineRule="auto"/>
      </w:pPr>
      <w:r>
        <w:rPr/>
        <w:t xml:space="preserve">Applications submitted vs. funded (conversion %)</w:t>
      </w:r>
    </w:p>
    <w:p>
      <w:pPr>
        <w:numPr>
          <w:ilvl w:val="0"/>
          <w:numId w:val="124"/>
        </w:numPr>
        <w:spacing w:lineRule="auto"/>
      </w:pPr>
      <w:r>
        <w:rPr/>
        <w:t xml:space="preserve">Average approval time (days, trending down)</w:t>
      </w:r>
    </w:p>
    <w:p>
      <w:pPr>
        <w:numPr>
          <w:ilvl w:val="0"/>
          <w:numId w:val="124"/>
        </w:numPr>
        <w:spacing w:lineRule="auto"/>
      </w:pPr>
      <w:r>
        <w:rPr/>
        <w:t xml:space="preserve">Time-to-funding (borrower perspective)</w:t>
      </w:r>
    </w:p>
    <w:p>
      <w:pPr>
        <w:numPr>
          <w:ilvl w:val="0"/>
          <w:numId w:val="124"/>
        </w:numPr>
        <w:spacing w:lineRule="auto"/>
      </w:pPr>
      <w:r>
        <w:rPr/>
        <w:t xml:space="preserve">Data quality scores (completeness, accuracy)</w:t>
      </w:r>
    </w:p>
    <w:p>
      <w:pPr>
        <w:spacing w:after="210" w:lineRule="auto"/>
      </w:pPr>
      <w:r>
        <w:rPr>
          <w:b/>
        </w:rPr>
        <w:t xml:space="preserve">Lender Health:</w:t>
      </w:r>
    </w:p>
    <w:p>
      <w:pPr>
        <w:numPr>
          <w:ilvl w:val="0"/>
          <w:numId w:val="125"/>
        </w:numPr>
        <w:spacing w:lineRule="auto"/>
      </w:pPr>
      <w:r>
        <w:rPr/>
        <w:t xml:space="preserve">Integrated lenders (count)</w:t>
      </w:r>
    </w:p>
    <w:p>
      <w:pPr>
        <w:numPr>
          <w:ilvl w:val="0"/>
          <w:numId w:val="125"/>
        </w:numPr>
        <w:spacing w:lineRule="auto"/>
      </w:pPr>
      <w:r>
        <w:rPr/>
        <w:t xml:space="preserve">Volume from platform as % of lender portfolio</w:t>
      </w:r>
    </w:p>
    <w:p>
      <w:pPr>
        <w:numPr>
          <w:ilvl w:val="0"/>
          <w:numId w:val="125"/>
        </w:numPr>
        <w:spacing w:lineRule="auto"/>
      </w:pPr>
      <w:r>
        <w:rPr/>
        <w:t xml:space="preserve">Lender satisfaction (NPS)</w:t>
      </w:r>
    </w:p>
    <w:p>
      <w:pPr>
        <w:numPr>
          <w:ilvl w:val="0"/>
          <w:numId w:val="125"/>
        </w:numPr>
        <w:spacing w:lineRule="auto"/>
      </w:pPr>
      <w:r>
        <w:rPr/>
        <w:t xml:space="preserve">Underwriting cost reduction (measured)</w:t>
      </w:r>
    </w:p>
    <w:p>
      <w:pPr>
        <w:numPr>
          <w:ilvl w:val="0"/>
          <w:numId w:val="125"/>
        </w:numPr>
        <w:spacing w:lineRule="auto"/>
      </w:pPr>
      <w:r>
        <w:rPr/>
        <w:t xml:space="preserve">Compliance audit findings (zero/minimal)</w:t>
      </w:r>
    </w:p>
    <w:p>
      <w:pPr>
        <w:spacing w:after="210" w:lineRule="auto"/>
      </w:pPr>
      <w:r>
        <w:rPr>
          <w:b/>
        </w:rPr>
        <w:t xml:space="preserve">Financial Health:</w:t>
      </w:r>
    </w:p>
    <w:p>
      <w:pPr>
        <w:numPr>
          <w:ilvl w:val="0"/>
          <w:numId w:val="126"/>
        </w:numPr>
        <w:spacing w:lineRule="auto"/>
      </w:pPr>
      <w:r>
        <w:rPr/>
        <w:t xml:space="preserve">Total revenue (MRR)</w:t>
      </w:r>
    </w:p>
    <w:p>
      <w:pPr>
        <w:numPr>
          <w:ilvl w:val="0"/>
          <w:numId w:val="126"/>
        </w:numPr>
        <w:spacing w:lineRule="auto"/>
      </w:pPr>
      <w:r>
        <w:rPr/>
        <w:t xml:space="preserve">Gross margin %</w:t>
      </w:r>
    </w:p>
    <w:p>
      <w:pPr>
        <w:numPr>
          <w:ilvl w:val="0"/>
          <w:numId w:val="126"/>
        </w:numPr>
        <w:spacing w:lineRule="auto"/>
      </w:pPr>
      <w:r>
        <w:rPr/>
        <w:t xml:space="preserve">CAC and payback period</w:t>
      </w:r>
    </w:p>
    <w:p>
      <w:pPr>
        <w:numPr>
          <w:ilvl w:val="0"/>
          <w:numId w:val="126"/>
        </w:numPr>
        <w:spacing w:lineRule="auto"/>
      </w:pPr>
      <w:r>
        <w:rPr/>
        <w:t xml:space="preserve">Burn rate and runway</w:t>
      </w:r>
    </w:p>
    <w:p>
      <w:pPr>
        <w:numPr>
          <w:ilvl w:val="0"/>
          <w:numId w:val="126"/>
        </w:numPr>
        <w:spacing w:lineRule="auto"/>
      </w:pPr>
      <w:r>
        <w:rPr/>
        <w:t xml:space="preserve">Net revenue retention (if upsell/expansion revenue)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8" w:name="bm_18_key_assumptions_sensitivity_6f7112"/>
      <w:r>
        <w:rPr>
          <w:b/>
          <w:sz w:val="42"/>
        </w:rPr>
        <w:t xml:space="preserve">18. KEY ASSUMPTIONS &amp; SENSITIVITY ANALYSIS</w:t>
      </w:r>
      <w:bookmarkEnd w:id="98"/>
    </w:p>
    <w:p>
      <w:pPr>
        <w:spacing w:line="271" w:before="240" w:lineRule="auto"/>
      </w:pPr>
      <w:bookmarkStart w:id="99" w:name="critical_assumptions_with_sensitivity"/>
      <w:r>
        <w:rPr>
          <w:b/>
          <w:sz w:val="33"/>
        </w:rPr>
        <w:t xml:space="preserve">Critical Assumptions with Sensitivity</w:t>
      </w:r>
      <w:bookmarkEnd w:id="99"/>
    </w:p>
    <w:p>
      <w:pPr>
        <w:spacing w:after="210" w:lineRule="auto"/>
      </w:pPr>
      <w:r>
        <w:rPr>
          <w:b/>
        </w:rPr>
        <w:t xml:space="preserve">Assumption 1: Dealer Adoption Rate</w:t>
      </w:r>
    </w:p>
    <w:p>
      <w:pPr>
        <w:spacing w:after="210" w:lineRule="auto"/>
      </w:pPr>
      <w:r>
        <w:rPr>
          <w:i/>
        </w:rPr>
        <w:t xml:space="preserve">Base Case</w:t>
      </w:r>
      <w:r>
        <w:rPr>
          <w:rFonts w:eastAsia="Georgia" w:cs="Georgia" w:ascii="Georgia" w:hAnsi="Georgia"/>
        </w:rPr>
        <w:t xml:space="preserve">: 40 dealers Year 1 → 1,200 by Year 5 (45–70% YoY growth)</w:t>
      </w:r>
    </w:p>
    <w:p>
      <w:pPr>
        <w:spacing w:after="210" w:lineRule="auto"/>
      </w:pPr>
      <w:r>
        <w:rPr>
          <w:i/>
        </w:rPr>
        <w:t xml:space="preserve">Sensitivity</w:t>
      </w:r>
      <w:r>
        <w:rPr/>
        <w:t xml:space="preserve">:</w:t>
      </w:r>
    </w:p>
    <w:p>
      <w:pPr>
        <w:numPr>
          <w:ilvl w:val="0"/>
          <w:numId w:val="127"/>
        </w:numPr>
        <w:spacing w:lineRule="auto"/>
      </w:pPr>
      <w:r>
        <w:rPr>
          <w:b/>
        </w:rPr>
        <w:t xml:space="preserve">Downside</w:t>
      </w:r>
      <w:r>
        <w:rPr/>
        <w:t xml:space="preserve"> (30% YoY growth): Year 5 = 350 dealers; Year 5 revenue = $40M</w:t>
      </w:r>
    </w:p>
    <w:p>
      <w:pPr>
        <w:numPr>
          <w:ilvl w:val="0"/>
          <w:numId w:val="127"/>
        </w:numPr>
        <w:spacing w:lineRule="auto"/>
      </w:pPr>
      <w:r>
        <w:rPr>
          <w:b/>
        </w:rPr>
        <w:t xml:space="preserve">Upside</w:t>
      </w:r>
      <w:r>
        <w:rPr/>
        <w:t xml:space="preserve"> (80% YoY growth): Year 5 = 2,000 dealers; Year 5 revenue = $165M</w:t>
      </w:r>
    </w:p>
    <w:p>
      <w:pPr>
        <w:spacing w:after="210" w:lineRule="auto"/>
      </w:pPr>
      <w:r>
        <w:rPr>
          <w:i/>
        </w:rPr>
        <w:t xml:space="preserve">Mitigation</w:t>
      </w:r>
      <w:r>
        <w:rPr/>
        <w:t xml:space="preserve">: Design partner validation; OEM partnerships; peer adoption dynamics</w:t>
      </w:r>
    </w:p>
    <w:p>
      <w:pPr>
        <w:spacing w:after="210" w:lineRule="auto"/>
      </w:pPr>
      <w:r>
        <w:rPr>
          <w:b/>
        </w:rPr>
        <w:t xml:space="preserve">Assumption 2: Success Fee Rate</w:t>
      </w:r>
    </w:p>
    <w:p>
      <w:pPr>
        <w:spacing w:after="210" w:lineRule="auto"/>
      </w:pPr>
      <w:r>
        <w:rPr>
          <w:i/>
        </w:rPr>
        <w:t xml:space="preserve">Base Case</w:t>
      </w:r>
      <w:r>
        <w:rPr/>
        <w:t xml:space="preserve">: 2.0% of funded loan amount</w:t>
      </w:r>
    </w:p>
    <w:p>
      <w:pPr>
        <w:spacing w:after="210" w:lineRule="auto"/>
      </w:pPr>
      <w:r>
        <w:rPr>
          <w:i/>
        </w:rPr>
        <w:t xml:space="preserve">Sensitivity</w:t>
      </w:r>
      <w:r>
        <w:rPr/>
        <w:t xml:space="preserve">:</w:t>
      </w:r>
    </w:p>
    <w:p>
      <w:pPr>
        <w:numPr>
          <w:ilvl w:val="0"/>
          <w:numId w:val="128"/>
        </w:numPr>
        <w:spacing w:lineRule="auto"/>
      </w:pPr>
      <w:r>
        <w:rPr>
          <w:b/>
        </w:rPr>
        <w:t xml:space="preserve">Downside</w:t>
      </w:r>
      <w:r>
        <w:rPr/>
        <w:t xml:space="preserve"> (1.5%): Year 5 revenue = $73M (vs. $109M base)</w:t>
      </w:r>
    </w:p>
    <w:p>
      <w:pPr>
        <w:numPr>
          <w:ilvl w:val="0"/>
          <w:numId w:val="128"/>
        </w:numPr>
        <w:spacing w:lineRule="auto"/>
      </w:pPr>
      <w:r>
        <w:rPr>
          <w:b/>
        </w:rPr>
        <w:t xml:space="preserve">Upside</w:t>
      </w:r>
      <w:r>
        <w:rPr/>
        <w:t xml:space="preserve"> (2.5%): Year 5 revenue = $136M (vs. $109M base)</w:t>
      </w:r>
    </w:p>
    <w:p>
      <w:pPr>
        <w:spacing w:after="210" w:lineRule="auto"/>
      </w:pPr>
      <w:r>
        <w:rPr>
          <w:i/>
        </w:rPr>
        <w:t xml:space="preserve">Justification</w:t>
      </w:r>
      <w:r>
        <w:rPr>
          <w:rFonts w:eastAsia="Georgia" w:cs="Georgia" w:ascii="Georgia" w:hAnsi="Georgia"/>
        </w:rPr>
        <w:t xml:space="preserve">: Lenders pay fee based on value (20–30% underwriting cost reduction; expanded borrower access). Rate defensible at 1.5–2.5% range.</w:t>
      </w:r>
    </w:p>
    <w:p>
      <w:pPr>
        <w:spacing w:after="210" w:lineRule="auto"/>
      </w:pPr>
      <w:r>
        <w:rPr>
          <w:b/>
        </w:rPr>
        <w:t xml:space="preserve">Assumption 3: Funded Loans per Dealer</w:t>
      </w:r>
    </w:p>
    <w:p>
      <w:pPr>
        <w:spacing w:after="210" w:lineRule="auto"/>
      </w:pPr>
      <w:r>
        <w:rPr>
          <w:i/>
        </w:rPr>
        <w:t xml:space="preserve">Base Case</w:t>
      </w:r>
      <w:r>
        <w:rPr/>
        <w:t xml:space="preserve">: 50 funded loans/year per dealer (avg $80K loan size = $4M volume/dealer)</w:t>
      </w:r>
    </w:p>
    <w:p>
      <w:pPr>
        <w:spacing w:after="210" w:lineRule="auto"/>
      </w:pPr>
      <w:r>
        <w:rPr>
          <w:i/>
        </w:rPr>
        <w:t xml:space="preserve">Sensitivity</w:t>
      </w:r>
      <w:r>
        <w:rPr/>
        <w:t xml:space="preserve">:</w:t>
      </w:r>
    </w:p>
    <w:p>
      <w:pPr>
        <w:numPr>
          <w:ilvl w:val="0"/>
          <w:numId w:val="129"/>
        </w:numPr>
        <w:spacing w:lineRule="auto"/>
      </w:pPr>
      <w:r>
        <w:rPr>
          <w:b/>
        </w:rPr>
        <w:t xml:space="preserve">Downside</w:t>
      </w:r>
      <w:r>
        <w:rPr/>
        <w:t xml:space="preserve"> (30 loans/dealer): Year 5 = $30M funded volume; Year 5 revenue = $63M</w:t>
      </w:r>
    </w:p>
    <w:p>
      <w:pPr>
        <w:numPr>
          <w:ilvl w:val="0"/>
          <w:numId w:val="129"/>
        </w:numPr>
        <w:spacing w:lineRule="auto"/>
      </w:pPr>
      <w:r>
        <w:rPr>
          <w:b/>
        </w:rPr>
        <w:t xml:space="preserve">Upside</w:t>
      </w:r>
      <w:r>
        <w:rPr/>
        <w:t xml:space="preserve"> (75 loans/dealer): Year 5 = $72M funded volume; Year 5 revenue = $155M</w:t>
      </w:r>
    </w:p>
    <w:p>
      <w:pPr>
        <w:spacing w:after="210" w:lineRule="auto"/>
      </w:pPr>
      <w:r>
        <w:rPr>
          <w:i/>
        </w:rPr>
        <w:t xml:space="preserve">Justification</w:t>
      </w:r>
      <w:r>
        <w:rPr>
          <w:rFonts w:eastAsia="Georgia" w:cs="Georgia" w:ascii="Georgia" w:hAnsi="Georgia"/>
        </w:rPr>
        <w:t xml:space="preserve">: Depends on dealer segment mix (independent dealers ~40–50 loans; large groups ~100+). Conservative estimate.</w:t>
      </w:r>
    </w:p>
    <w:p>
      <w:pPr>
        <w:spacing w:after="210" w:lineRule="auto"/>
      </w:pPr>
      <w:r>
        <w:rPr>
          <w:b/>
        </w:rPr>
        <w:t xml:space="preserve">Assumption 4: Customer Acquisition Cost (CAC)</w:t>
      </w:r>
    </w:p>
    <w:p>
      <w:pPr>
        <w:spacing w:after="210" w:lineRule="auto"/>
      </w:pPr>
      <w:r>
        <w:rPr>
          <w:i/>
        </w:rPr>
        <w:t xml:space="preserve">Base Case</w:t>
      </w:r>
      <w:r>
        <w:rPr/>
        <w:t xml:space="preserve">: $4,000 independent dealer; $15,000 multi-location group</w:t>
      </w:r>
    </w:p>
    <w:p>
      <w:pPr>
        <w:spacing w:after="210" w:lineRule="auto"/>
      </w:pPr>
      <w:r>
        <w:rPr>
          <w:i/>
        </w:rPr>
        <w:t xml:space="preserve">Sensitivity</w:t>
      </w:r>
      <w:r>
        <w:rPr/>
        <w:t xml:space="preserve">:</w:t>
      </w:r>
    </w:p>
    <w:p>
      <w:pPr>
        <w:numPr>
          <w:ilvl w:val="0"/>
          <w:numId w:val="130"/>
        </w:numPr>
        <w:spacing w:lineRule="auto"/>
      </w:pPr>
      <w:r>
        <w:rPr>
          <w:b/>
        </w:rPr>
        <w:t xml:space="preserve">Downside</w:t>
      </w:r>
      <w:r>
        <w:rPr/>
        <w:t xml:space="preserve"> (CAC +50%): Year 1 EBITDA = -$0.5M (break-even delayed)</w:t>
      </w:r>
    </w:p>
    <w:p>
      <w:pPr>
        <w:numPr>
          <w:ilvl w:val="0"/>
          <w:numId w:val="130"/>
        </w:numPr>
        <w:spacing w:lineRule="auto"/>
      </w:pPr>
      <w:r>
        <w:rPr>
          <w:b/>
        </w:rPr>
        <w:t xml:space="preserve">Upside</w:t>
      </w:r>
      <w:r>
        <w:rPr/>
        <w:t xml:space="preserve"> (CAC -30%): Year 1 EBITDA = +$0.9M (better early profitability)</w:t>
      </w:r>
    </w:p>
    <w:p>
      <w:pPr>
        <w:spacing w:after="210" w:lineRule="auto"/>
      </w:pPr>
      <w:r>
        <w:rPr>
          <w:i/>
        </w:rPr>
        <w:t xml:space="preserve">Mitigation</w:t>
      </w:r>
      <w:r>
        <w:rPr/>
        <w:t xml:space="preserve">: Organic + referral adoption; partner channels reduce paid CAC</w:t>
      </w:r>
    </w:p>
    <w:p>
      <w:pPr>
        <w:spacing w:after="210" w:lineRule="auto"/>
      </w:pPr>
      <w:r>
        <w:rPr>
          <w:b/>
        </w:rPr>
        <w:t xml:space="preserve">Assumption 5: Year 1 Gross Margin</w:t>
      </w:r>
    </w:p>
    <w:p>
      <w:pPr>
        <w:spacing w:after="210" w:lineRule="auto"/>
      </w:pPr>
      <w:r>
        <w:rPr>
          <w:i/>
        </w:rPr>
        <w:t xml:space="preserve">Base Case</w:t>
      </w:r>
      <w:r>
        <w:rPr/>
        <w:t xml:space="preserve">: 80% (heavy platform development; lender integration costs)</w:t>
      </w:r>
    </w:p>
    <w:p>
      <w:pPr>
        <w:spacing w:after="210" w:lineRule="auto"/>
      </w:pPr>
      <w:r>
        <w:rPr>
          <w:i/>
        </w:rPr>
        <w:t xml:space="preserve">Sensitivity</w:t>
      </w:r>
      <w:r>
        <w:rPr/>
        <w:t xml:space="preserve">:</w:t>
      </w:r>
    </w:p>
    <w:p>
      <w:pPr>
        <w:numPr>
          <w:ilvl w:val="0"/>
          <w:numId w:val="131"/>
        </w:numPr>
        <w:spacing w:lineRule="auto"/>
      </w:pPr>
      <w:r>
        <w:rPr>
          <w:b/>
        </w:rPr>
        <w:t xml:space="preserve">Conservative</w:t>
      </w:r>
      <w:r>
        <w:rPr/>
        <w:t xml:space="preserve"> (75%): Year 5 EBITDA = $58M (vs. $70M base)</w:t>
      </w:r>
    </w:p>
    <w:p>
      <w:pPr>
        <w:numPr>
          <w:ilvl w:val="0"/>
          <w:numId w:val="131"/>
        </w:numPr>
        <w:spacing w:lineRule="auto"/>
      </w:pPr>
      <w:r>
        <w:rPr>
          <w:b/>
        </w:rPr>
        <w:t xml:space="preserve">Optimistic</w:t>
      </w:r>
      <w:r>
        <w:rPr/>
        <w:t xml:space="preserve"> (85%): Year 5 EBITDA = $81M (vs. $70M base)</w:t>
      </w:r>
    </w:p>
    <w:p>
      <w:pPr>
        <w:spacing w:after="210" w:lineRule="auto"/>
      </w:pPr>
      <w:r>
        <w:rPr>
          <w:i/>
        </w:rPr>
        <w:t xml:space="preserve">Justification</w:t>
      </w:r>
      <w:r>
        <w:rPr/>
        <w:t xml:space="preserve">: Gross margin improves with scale (lender integrations amortized)</w:t>
      </w:r>
    </w:p>
    <w:p>
      <w:pPr>
        <w:spacing w:line="271" w:before="240" w:lineRule="auto"/>
      </w:pPr>
      <w:bookmarkStart w:id="100" w:name="sensitivity_table_year_5_revenue_impact"/>
      <w:r>
        <w:rPr>
          <w:b/>
          <w:sz w:val="33"/>
        </w:rPr>
        <w:t xml:space="preserve">Sensitivity Table: Year 5 Revenue Impact</w:t>
      </w:r>
      <w:bookmarkEnd w:id="10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Scenario</w:t>
            </w:r>
          </w:p>
        </w:tc>
        <w:tc>
          <w:tcPr>
            <w:tcBorders>
              <w:top w:val="single" w:sz="1" w:space="0" w:color="000000"/>
              <w:left w:val="single" w:sz="1" w:space="0" w:color="000000"/>
              <w:bottom w:val="single" w:sz="1" w:space="0" w:color="000000"/>
            </w:tcBorders>
          </w:tcPr>
          <w:p>
            <w:pPr>
              <w:spacing w:lineRule="auto"/>
            </w:pPr>
            <w:r>
              <w:rPr/>
              <w:t xml:space="preserve">Dealer Growth</w:t>
            </w:r>
          </w:p>
        </w:tc>
        <w:tc>
          <w:tcPr>
            <w:tcBorders>
              <w:top w:val="single" w:sz="1" w:space="0" w:color="000000"/>
              <w:left w:val="single" w:sz="1" w:space="0" w:color="000000"/>
              <w:bottom w:val="single" w:sz="1" w:space="0" w:color="000000"/>
            </w:tcBorders>
          </w:tcPr>
          <w:p>
            <w:pPr>
              <w:spacing w:lineRule="auto"/>
            </w:pPr>
            <w:r>
              <w:rPr/>
              <w:t xml:space="preserve">Fee Rate</w:t>
            </w:r>
          </w:p>
        </w:tc>
        <w:tc>
          <w:tcPr>
            <w:tcBorders>
              <w:top w:val="single" w:sz="1" w:space="0" w:color="000000"/>
              <w:left w:val="single" w:sz="1" w:space="0" w:color="000000"/>
              <w:bottom w:val="single" w:sz="1" w:space="0" w:color="000000"/>
            </w:tcBorders>
          </w:tcPr>
          <w:p>
            <w:pPr>
              <w:spacing w:lineRule="auto"/>
            </w:pPr>
            <w:r>
              <w:rPr/>
              <w:t xml:space="preserve">Loans/Dealer</w:t>
            </w:r>
          </w:p>
        </w:tc>
        <w:tc>
          <w:tcPr>
            <w:tcBorders>
              <w:top w:val="single" w:sz="1" w:space="0" w:color="000000"/>
              <w:left w:val="single" w:sz="1" w:space="0" w:color="000000"/>
              <w:bottom w:val="single" w:sz="1" w:space="0" w:color="000000"/>
            </w:tcBorders>
          </w:tcPr>
          <w:p>
            <w:pPr>
              <w:spacing w:lineRule="auto"/>
            </w:pPr>
            <w:r>
              <w:rPr/>
              <w:t xml:space="preserve">Year 5 Revenue</w:t>
            </w:r>
          </w:p>
        </w:tc>
      </w:tr>
      <w:tr>
        <w:trPr>
          <w:cantSplit/>
        </w:trPr>
        <w:tc>
          <w:tcPr>
            <w:tcBorders>
              <w:top w:val="single" w:sz="1" w:space="0" w:color="000000"/>
              <w:bottom w:val="single" w:sz="1" w:space="0" w:color="000000"/>
            </w:tcBorders>
          </w:tcPr>
          <w:p>
            <w:pPr>
              <w:spacing w:lineRule="auto"/>
            </w:pPr>
            <w:r>
              <w:rPr>
                <w:b/>
              </w:rPr>
              <w:t xml:space="preserve">Base Case</w:t>
            </w:r>
          </w:p>
        </w:tc>
        <w:tc>
          <w:tcPr>
            <w:tcBorders>
              <w:top w:val="single" w:sz="1" w:space="0" w:color="000000"/>
              <w:left w:val="single" w:sz="1" w:space="0" w:color="000000"/>
              <w:bottom w:val="single" w:sz="1" w:space="0" w:color="000000"/>
            </w:tcBorders>
          </w:tcPr>
          <w:p>
            <w:pPr>
              <w:spacing w:lineRule="auto"/>
            </w:pPr>
            <w:r>
              <w:rPr/>
              <w:t xml:space="preserve">70% CAGR</w:t>
            </w:r>
          </w:p>
        </w:tc>
        <w:tc>
          <w:tcPr>
            <w:tcBorders>
              <w:top w:val="single" w:sz="1" w:space="0" w:color="000000"/>
              <w:left w:val="single" w:sz="1" w:space="0" w:color="000000"/>
              <w:bottom w:val="single" w:sz="1" w:space="0" w:color="000000"/>
            </w:tcBorders>
          </w:tcPr>
          <w:p>
            <w:pPr>
              <w:spacing w:lineRule="auto"/>
            </w:pPr>
            <w:r>
              <w:rPr/>
              <w:t xml:space="preserve">2.0%</w:t>
            </w:r>
          </w:p>
        </w:tc>
        <w:tc>
          <w:tcPr>
            <w:tcBorders>
              <w:top w:val="single" w:sz="1" w:space="0" w:color="000000"/>
              <w:left w:val="single" w:sz="1" w:space="0" w:color="000000"/>
              <w:bottom w:val="single" w:sz="1" w:space="0" w:color="000000"/>
            </w:tcBorders>
          </w:tcPr>
          <w:p>
            <w:pPr>
              <w:spacing w:lineRule="auto"/>
            </w:pPr>
            <w:r>
              <w:rPr/>
              <w:t xml:space="preserve">50</w:t>
            </w:r>
          </w:p>
        </w:tc>
        <w:tc>
          <w:tcPr>
            <w:tcBorders>
              <w:top w:val="single" w:sz="1" w:space="0" w:color="000000"/>
              <w:left w:val="single" w:sz="1" w:space="0" w:color="000000"/>
              <w:bottom w:val="single" w:sz="1" w:space="0" w:color="000000"/>
            </w:tcBorders>
          </w:tcPr>
          <w:p>
            <w:pPr>
              <w:spacing w:lineRule="auto"/>
            </w:pPr>
            <w:r>
              <w:rPr/>
              <w:t xml:space="preserve">$108.6M</w:t>
            </w:r>
          </w:p>
        </w:tc>
      </w:tr>
      <w:tr>
        <w:trPr>
          <w:cantSplit/>
        </w:trPr>
        <w:tc>
          <w:tcPr>
            <w:tcBorders>
              <w:top w:val="single" w:sz="1" w:space="0" w:color="000000"/>
              <w:bottom w:val="single" w:sz="1" w:space="0" w:color="000000"/>
            </w:tcBorders>
          </w:tcPr>
          <w:p>
            <w:pPr>
              <w:spacing w:lineRule="auto"/>
            </w:pPr>
            <w:r>
              <w:rPr>
                <w:b/>
              </w:rPr>
              <w:t xml:space="preserve">Conservative</w:t>
            </w:r>
          </w:p>
        </w:tc>
        <w:tc>
          <w:tcPr>
            <w:tcBorders>
              <w:top w:val="single" w:sz="1" w:space="0" w:color="000000"/>
              <w:left w:val="single" w:sz="1" w:space="0" w:color="000000"/>
              <w:bottom w:val="single" w:sz="1" w:space="0" w:color="000000"/>
            </w:tcBorders>
          </w:tcPr>
          <w:p>
            <w:pPr>
              <w:spacing w:lineRule="auto"/>
            </w:pPr>
            <w:r>
              <w:rPr/>
              <w:t xml:space="preserve">50% CAGR</w:t>
            </w:r>
          </w:p>
        </w:tc>
        <w:tc>
          <w:tcPr>
            <w:tcBorders>
              <w:top w:val="single" w:sz="1" w:space="0" w:color="000000"/>
              <w:left w:val="single" w:sz="1" w:space="0" w:color="000000"/>
              <w:bottom w:val="single" w:sz="1" w:space="0" w:color="000000"/>
            </w:tcBorders>
          </w:tcPr>
          <w:p>
            <w:pPr>
              <w:spacing w:lineRule="auto"/>
            </w:pPr>
            <w:r>
              <w:rPr/>
              <w:t xml:space="preserve">1.5%</w:t>
            </w:r>
          </w:p>
        </w:tc>
        <w:tc>
          <w:tcPr>
            <w:tcBorders>
              <w:top w:val="single" w:sz="1" w:space="0" w:color="000000"/>
              <w:left w:val="single" w:sz="1" w:space="0" w:color="000000"/>
              <w:bottom w:val="single" w:sz="1" w:space="0" w:color="000000"/>
            </w:tcBorders>
          </w:tcPr>
          <w:p>
            <w:pPr>
              <w:spacing w:lineRule="auto"/>
            </w:pPr>
            <w:r>
              <w:rPr/>
              <w:t xml:space="preserve">40</w:t>
            </w:r>
          </w:p>
        </w:tc>
        <w:tc>
          <w:tcPr>
            <w:tcBorders>
              <w:top w:val="single" w:sz="1" w:space="0" w:color="000000"/>
              <w:left w:val="single" w:sz="1" w:space="0" w:color="000000"/>
              <w:bottom w:val="single" w:sz="1" w:space="0" w:color="000000"/>
            </w:tcBorders>
          </w:tcPr>
          <w:p>
            <w:pPr>
              <w:spacing w:lineRule="auto"/>
            </w:pPr>
            <w:r>
              <w:rPr/>
              <w:t xml:space="preserve">$55M</w:t>
            </w:r>
          </w:p>
        </w:tc>
      </w:tr>
      <w:tr>
        <w:trPr>
          <w:cantSplit/>
        </w:trPr>
        <w:tc>
          <w:tcPr>
            <w:tcBorders>
              <w:top w:val="single" w:sz="1" w:space="0" w:color="000000"/>
              <w:bottom w:val="single" w:sz="1" w:space="0" w:color="000000"/>
            </w:tcBorders>
          </w:tcPr>
          <w:p>
            <w:pPr>
              <w:spacing w:lineRule="auto"/>
            </w:pPr>
            <w:r>
              <w:rPr>
                <w:b/>
              </w:rPr>
              <w:t xml:space="preserve">Upside</w:t>
            </w:r>
          </w:p>
        </w:tc>
        <w:tc>
          <w:tcPr>
            <w:tcBorders>
              <w:top w:val="single" w:sz="1" w:space="0" w:color="000000"/>
              <w:left w:val="single" w:sz="1" w:space="0" w:color="000000"/>
              <w:bottom w:val="single" w:sz="1" w:space="0" w:color="000000"/>
            </w:tcBorders>
          </w:tcPr>
          <w:p>
            <w:pPr>
              <w:spacing w:lineRule="auto"/>
            </w:pPr>
            <w:r>
              <w:rPr/>
              <w:t xml:space="preserve">90% CAGR</w:t>
            </w:r>
          </w:p>
        </w:tc>
        <w:tc>
          <w:tcPr>
            <w:tcBorders>
              <w:top w:val="single" w:sz="1" w:space="0" w:color="000000"/>
              <w:left w:val="single" w:sz="1" w:space="0" w:color="000000"/>
              <w:bottom w:val="single" w:sz="1" w:space="0" w:color="000000"/>
            </w:tcBorders>
          </w:tcPr>
          <w:p>
            <w:pPr>
              <w:spacing w:lineRule="auto"/>
            </w:pPr>
            <w:r>
              <w:rPr/>
              <w:t xml:space="preserve">2.5%</w:t>
            </w:r>
          </w:p>
        </w:tc>
        <w:tc>
          <w:tcPr>
            <w:tcBorders>
              <w:top w:val="single" w:sz="1" w:space="0" w:color="000000"/>
              <w:left w:val="single" w:sz="1" w:space="0" w:color="000000"/>
              <w:bottom w:val="single" w:sz="1" w:space="0" w:color="000000"/>
            </w:tcBorders>
          </w:tcPr>
          <w:p>
            <w:pPr>
              <w:spacing w:lineRule="auto"/>
            </w:pPr>
            <w:r>
              <w:rPr/>
              <w:t xml:space="preserve">65</w:t>
            </w:r>
          </w:p>
        </w:tc>
        <w:tc>
          <w:tcPr>
            <w:tcBorders>
              <w:top w:val="single" w:sz="1" w:space="0" w:color="000000"/>
              <w:left w:val="single" w:sz="1" w:space="0" w:color="000000"/>
              <w:bottom w:val="single" w:sz="1" w:space="0" w:color="000000"/>
            </w:tcBorders>
          </w:tcPr>
          <w:p>
            <w:pPr>
              <w:spacing w:lineRule="auto"/>
            </w:pPr>
            <w:r>
              <w:rPr/>
              <w:t xml:space="preserve">$180M</w:t>
            </w:r>
          </w:p>
        </w:tc>
      </w:tr>
      <w:tr>
        <w:trPr>
          <w:cantSplit/>
        </w:trPr>
        <w:tc>
          <w:tcPr>
            <w:tcBorders>
              <w:top w:val="single" w:sz="1" w:space="0" w:color="000000"/>
              <w:bottom w:val="single" w:sz="1" w:space="0" w:color="000000"/>
            </w:tcBorders>
          </w:tcPr>
          <w:p>
            <w:pPr>
              <w:spacing w:lineRule="auto"/>
            </w:pPr>
            <w:r>
              <w:rPr>
                <w:b/>
              </w:rPr>
              <w:t xml:space="preserve">Pessimistic</w:t>
            </w:r>
          </w:p>
        </w:tc>
        <w:tc>
          <w:tcPr>
            <w:tcBorders>
              <w:top w:val="single" w:sz="1" w:space="0" w:color="000000"/>
              <w:left w:val="single" w:sz="1" w:space="0" w:color="000000"/>
              <w:bottom w:val="single" w:sz="1" w:space="0" w:color="000000"/>
            </w:tcBorders>
          </w:tcPr>
          <w:p>
            <w:pPr>
              <w:spacing w:lineRule="auto"/>
            </w:pPr>
            <w:r>
              <w:rPr/>
              <w:t xml:space="preserve">30% CAGR</w:t>
            </w:r>
          </w:p>
        </w:tc>
        <w:tc>
          <w:tcPr>
            <w:tcBorders>
              <w:top w:val="single" w:sz="1" w:space="0" w:color="000000"/>
              <w:left w:val="single" w:sz="1" w:space="0" w:color="000000"/>
              <w:bottom w:val="single" w:sz="1" w:space="0" w:color="000000"/>
            </w:tcBorders>
          </w:tcPr>
          <w:p>
            <w:pPr>
              <w:spacing w:lineRule="auto"/>
            </w:pPr>
            <w:r>
              <w:rPr/>
              <w:t xml:space="preserve">1.5%</w:t>
            </w:r>
          </w:p>
        </w:tc>
        <w:tc>
          <w:tcPr>
            <w:tcBorders>
              <w:top w:val="single" w:sz="1" w:space="0" w:color="000000"/>
              <w:left w:val="single" w:sz="1" w:space="0" w:color="000000"/>
              <w:bottom w:val="single" w:sz="1" w:space="0" w:color="000000"/>
            </w:tcBorders>
          </w:tcPr>
          <w:p>
            <w:pPr>
              <w:spacing w:lineRule="auto"/>
            </w:pPr>
            <w:r>
              <w:rPr/>
              <w:t xml:space="preserve">30</w:t>
            </w:r>
          </w:p>
        </w:tc>
        <w:tc>
          <w:tcPr>
            <w:tcBorders>
              <w:top w:val="single" w:sz="1" w:space="0" w:color="000000"/>
              <w:left w:val="single" w:sz="1" w:space="0" w:color="000000"/>
              <w:bottom w:val="single" w:sz="1" w:space="0" w:color="000000"/>
            </w:tcBorders>
          </w:tcPr>
          <w:p>
            <w:pPr>
              <w:spacing w:lineRule="auto"/>
            </w:pPr>
            <w:r>
              <w:rPr/>
              <w:t xml:space="preserve">$25M</w:t>
            </w:r>
          </w:p>
        </w:tc>
      </w:tr>
    </w:tbl>
    <w:p>
      <w:pPr>
        <w:spacing w:lineRule="auto"/>
      </w:pPr>
    </w:p>
    <w:p>
      <w:pPr>
        <w:spacing w:after="210" w:lineRule="auto"/>
      </w:pPr>
      <w:r>
        <w:rPr>
          <w:b/>
        </w:rPr>
        <w:t xml:space="preserve">Interpretation</w:t>
      </w:r>
      <w:r>
        <w:rPr/>
        <w:t xml:space="preserve">: Even in conservative case, Year 5 revenue exceeds $50M with strong unit economics. Suggests business model is robust to assumption variance.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1" w:name="bm_19_appendix_data_sources_suppo_166f26"/>
      <w:r>
        <w:rPr>
          <w:b/>
          <w:sz w:val="42"/>
        </w:rPr>
        <w:t xml:space="preserve">19. APPENDIX: DATA SOURCES &amp; SUPPORT MATERIALS</w:t>
      </w:r>
      <w:bookmarkEnd w:id="101"/>
    </w:p>
    <w:p>
      <w:pPr>
        <w:spacing w:line="271" w:before="240" w:lineRule="auto"/>
      </w:pPr>
      <w:bookmarkStart w:id="102" w:name="cited_data_sources"/>
      <w:r>
        <w:rPr>
          <w:b/>
          <w:sz w:val="33"/>
        </w:rPr>
        <w:t xml:space="preserve">Cited Data Sources</w:t>
      </w:r>
      <w:bookmarkEnd w:id="10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Topic</w:t>
            </w:r>
          </w:p>
        </w:tc>
        <w:tc>
          <w:tcPr>
            <w:tcBorders>
              <w:top w:val="single" w:sz="1" w:space="0" w:color="000000"/>
              <w:left w:val="single" w:sz="1" w:space="0" w:color="000000"/>
              <w:bottom w:val="single" w:sz="1" w:space="0" w:color="000000"/>
            </w:tcBorders>
          </w:tcPr>
          <w:p>
            <w:pPr>
              <w:spacing w:lineRule="auto"/>
            </w:pPr>
            <w:r>
              <w:rPr/>
              <w:t xml:space="preserve">Source</w:t>
            </w:r>
          </w:p>
        </w:tc>
        <w:tc>
          <w:tcPr>
            <w:tcBorders>
              <w:top w:val="single" w:sz="1" w:space="0" w:color="000000"/>
              <w:left w:val="single" w:sz="1" w:space="0" w:color="000000"/>
              <w:bottom w:val="single" w:sz="1" w:space="0" w:color="000000"/>
            </w:tcBorders>
          </w:tcPr>
          <w:p>
            <w:pPr>
              <w:spacing w:lineRule="auto"/>
            </w:pPr>
            <w:r>
              <w:rPr/>
              <w:t xml:space="preserve">Publication Date</w:t>
            </w:r>
          </w:p>
        </w:tc>
        <w:tc>
          <w:tcPr>
            <w:tcBorders>
              <w:top w:val="single" w:sz="1" w:space="0" w:color="000000"/>
              <w:left w:val="single" w:sz="1" w:space="0" w:color="000000"/>
              <w:bottom w:val="single" w:sz="1" w:space="0" w:color="000000"/>
            </w:tcBorders>
          </w:tcPr>
          <w:p>
            <w:pPr>
              <w:spacing w:lineRule="auto"/>
            </w:pPr>
            <w:r>
              <w:rPr/>
              <w:t xml:space="preserve">Citation</w:t>
            </w:r>
          </w:p>
        </w:tc>
      </w:tr>
      <w:tr>
        <w:trPr>
          <w:cantSplit/>
        </w:trPr>
        <w:tc>
          <w:tcPr>
            <w:tcBorders>
              <w:top w:val="single" w:sz="1" w:space="0" w:color="000000"/>
              <w:bottom w:val="single" w:sz="1" w:space="0" w:color="000000"/>
            </w:tcBorders>
          </w:tcPr>
          <w:p>
            <w:pPr>
              <w:spacing w:lineRule="auto"/>
            </w:pPr>
            <w:r>
              <w:rPr/>
              <w:t xml:space="preserve">Agricultural equipment financing market size</w:t>
            </w:r>
          </w:p>
        </w:tc>
        <w:tc>
          <w:tcPr>
            <w:tcBorders>
              <w:top w:val="single" w:sz="1" w:space="0" w:color="000000"/>
              <w:left w:val="single" w:sz="1" w:space="0" w:color="000000"/>
              <w:bottom w:val="single" w:sz="1" w:space="0" w:color="000000"/>
            </w:tcBorders>
          </w:tcPr>
          <w:p>
            <w:pPr>
              <w:spacing w:lineRule="auto"/>
            </w:pPr>
            <w:r>
              <w:rPr/>
              <w:t xml:space="preserve">Grand View Research</w:t>
            </w:r>
          </w:p>
        </w:tc>
        <w:tc>
          <w:tcPr>
            <w:tcBorders>
              <w:top w:val="single" w:sz="1" w:space="0" w:color="000000"/>
              <w:left w:val="single" w:sz="1" w:space="0" w:color="000000"/>
              <w:bottom w:val="single" w:sz="1" w:space="0" w:color="000000"/>
            </w:tcBorders>
          </w:tcPr>
          <w:p>
            <w:pPr>
              <w:spacing w:lineRule="auto"/>
            </w:pPr>
            <w:r>
              <w:rPr/>
              <w:t xml:space="preserve">Oct 2024</w:t>
            </w:r>
          </w:p>
        </w:tc>
        <w:tc>
          <w:tcPr>
            <w:tcBorders>
              <w:top w:val="single" w:sz="1" w:space="0" w:color="000000"/>
              <w:left w:val="single" w:sz="1" w:space="0" w:color="000000"/>
              <w:bottom w:val="single" w:sz="1" w:space="0" w:color="000000"/>
            </w:tcBorders>
          </w:tcPr>
          <w:p>
            <w:pPr>
              <w:spacing w:lineRule="auto"/>
            </w:pPr>
            <w:r>
              <w:rPr/>
              <w:t xml:space="preserve">$63.24B global; 44.1% loans</w:t>
            </w:r>
          </w:p>
        </w:tc>
      </w:tr>
      <w:tr>
        <w:trPr>
          <w:cantSplit/>
        </w:trPr>
        <w:tc>
          <w:tcPr>
            <w:tcBorders>
              <w:top w:val="single" w:sz="1" w:space="0" w:color="000000"/>
              <w:bottom w:val="single" w:sz="1" w:space="0" w:color="000000"/>
            </w:tcBorders>
          </w:tcPr>
          <w:p>
            <w:pPr>
              <w:spacing w:lineRule="auto"/>
            </w:pPr>
            <w:r>
              <w:rPr/>
              <w:t xml:space="preserve">Equipment finance market CAGR</w:t>
            </w:r>
          </w:p>
        </w:tc>
        <w:tc>
          <w:tcPr>
            <w:tcBorders>
              <w:top w:val="single" w:sz="1" w:space="0" w:color="000000"/>
              <w:left w:val="single" w:sz="1" w:space="0" w:color="000000"/>
              <w:bottom w:val="single" w:sz="1" w:space="0" w:color="000000"/>
            </w:tcBorders>
          </w:tcPr>
          <w:p>
            <w:pPr>
              <w:spacing w:lineRule="auto"/>
            </w:pPr>
            <w:r>
              <w:rPr/>
              <w:t xml:space="preserve">GMInsights</w:t>
            </w:r>
          </w:p>
        </w:tc>
        <w:tc>
          <w:tcPr>
            <w:tcBorders>
              <w:top w:val="single" w:sz="1" w:space="0" w:color="000000"/>
              <w:left w:val="single" w:sz="1" w:space="0" w:color="000000"/>
              <w:bottom w:val="single" w:sz="1" w:space="0" w:color="000000"/>
            </w:tcBorders>
          </w:tcPr>
          <w:p>
            <w:pPr>
              <w:spacing w:lineRule="auto"/>
            </w:pPr>
            <w:r>
              <w:rPr/>
              <w:t xml:space="preserve">Mar 2025</w:t>
            </w:r>
          </w:p>
        </w:tc>
        <w:tc>
          <w:tcPr>
            <w:tcBorders>
              <w:top w:val="single" w:sz="1" w:space="0" w:color="000000"/>
              <w:left w:val="single" w:sz="1" w:space="0" w:color="000000"/>
              <w:bottom w:val="single" w:sz="1" w:space="0" w:color="000000"/>
            </w:tcBorders>
          </w:tcPr>
          <w:p>
            <w:pPr>
              <w:spacing w:lineRule="auto"/>
            </w:pPr>
            <w:r>
              <w:rPr/>
              <w:t xml:space="preserve">6.3% CAGR through 2034</w:t>
            </w:r>
          </w:p>
        </w:tc>
      </w:tr>
      <w:tr>
        <w:trPr>
          <w:cantSplit/>
        </w:trPr>
        <w:tc>
          <w:tcPr>
            <w:tcBorders>
              <w:top w:val="single" w:sz="1" w:space="0" w:color="000000"/>
              <w:bottom w:val="single" w:sz="1" w:space="0" w:color="000000"/>
            </w:tcBorders>
          </w:tcPr>
          <w:p>
            <w:pPr>
              <w:spacing w:lineRule="auto"/>
            </w:pPr>
            <w:r>
              <w:rPr/>
              <w:t xml:space="preserve">Farm structure, small farms %</w:t>
            </w:r>
          </w:p>
        </w:tc>
        <w:tc>
          <w:tcPr>
            <w:tcBorders>
              <w:top w:val="single" w:sz="1" w:space="0" w:color="000000"/>
              <w:left w:val="single" w:sz="1" w:space="0" w:color="000000"/>
              <w:bottom w:val="single" w:sz="1" w:space="0" w:color="000000"/>
            </w:tcBorders>
          </w:tcPr>
          <w:p>
            <w:pPr>
              <w:spacing w:lineRule="auto"/>
            </w:pPr>
            <w:r>
              <w:rPr/>
              <w:t xml:space="preserve">USDA ERS</w:t>
            </w:r>
          </w:p>
        </w:tc>
        <w:tc>
          <w:tcPr>
            <w:tcBorders>
              <w:top w:val="single" w:sz="1" w:space="0" w:color="000000"/>
              <w:left w:val="single" w:sz="1" w:space="0" w:color="000000"/>
              <w:bottom w:val="single" w:sz="1" w:space="0" w:color="000000"/>
            </w:tcBorders>
          </w:tcPr>
          <w:p>
            <w:pPr>
              <w:spacing w:lineRule="auto"/>
            </w:pPr>
            <w:r>
              <w:rPr/>
              <w:t xml:space="preserve">2024</w:t>
            </w:r>
          </w:p>
        </w:tc>
        <w:tc>
          <w:tcPr>
            <w:tcBorders>
              <w:top w:val="single" w:sz="1" w:space="0" w:color="000000"/>
              <w:left w:val="single" w:sz="1" w:space="0" w:color="000000"/>
              <w:bottom w:val="single" w:sz="1" w:space="0" w:color="000000"/>
            </w:tcBorders>
          </w:tcPr>
          <w:p>
            <w:pPr>
              <w:spacing w:lineRule="auto"/>
            </w:pPr>
            <w:r>
              <w:rPr/>
              <w:t xml:space="preserve">89% of farms are small</w:t>
            </w:r>
          </w:p>
        </w:tc>
      </w:tr>
      <w:tr>
        <w:trPr>
          <w:cantSplit/>
        </w:trPr>
        <w:tc>
          <w:tcPr>
            <w:tcBorders>
              <w:top w:val="single" w:sz="1" w:space="0" w:color="000000"/>
              <w:bottom w:val="single" w:sz="1" w:space="0" w:color="000000"/>
            </w:tcBorders>
          </w:tcPr>
          <w:p>
            <w:pPr>
              <w:spacing w:lineRule="auto"/>
            </w:pPr>
            <w:r>
              <w:rPr/>
              <w:t xml:space="preserve">Equipment price inflation</w:t>
            </w:r>
          </w:p>
        </w:tc>
        <w:tc>
          <w:tcPr>
            <w:tcBorders>
              <w:top w:val="single" w:sz="1" w:space="0" w:color="000000"/>
              <w:left w:val="single" w:sz="1" w:space="0" w:color="000000"/>
              <w:bottom w:val="single" w:sz="1" w:space="0" w:color="000000"/>
            </w:tcBorders>
          </w:tcPr>
          <w:p>
            <w:pPr>
              <w:spacing w:lineRule="auto"/>
            </w:pPr>
            <w:r>
              <w:rPr/>
              <w:t xml:space="preserve">USDA NASS</w:t>
            </w:r>
          </w:p>
        </w:tc>
        <w:tc>
          <w:tcPr>
            <w:tcBorders>
              <w:top w:val="single" w:sz="1" w:space="0" w:color="000000"/>
              <w:left w:val="single" w:sz="1" w:space="0" w:color="000000"/>
              <w:bottom w:val="single" w:sz="1" w:space="0" w:color="000000"/>
            </w:tcBorders>
          </w:tcPr>
          <w:p>
            <w:pPr>
              <w:spacing w:lineRule="auto"/>
            </w:pPr>
            <w:r>
              <w:rPr/>
              <w:t xml:space="preserve">2024</w:t>
            </w:r>
          </w:p>
        </w:tc>
        <w:tc>
          <w:tcPr>
            <w:tcBorders>
              <w:top w:val="single" w:sz="1" w:space="0" w:color="000000"/>
              <w:left w:val="single" w:sz="1" w:space="0" w:color="000000"/>
              <w:bottom w:val="single" w:sz="1" w:space="0" w:color="000000"/>
            </w:tcBorders>
          </w:tcPr>
          <w:p>
            <w:pPr>
              <w:spacing w:lineRule="auto"/>
            </w:pPr>
            <w:r>
              <w:rPr/>
              <w:t xml:space="preserve">Tractors +35%; combines +40%</w:t>
            </w:r>
          </w:p>
        </w:tc>
      </w:tr>
      <w:tr>
        <w:trPr>
          <w:cantSplit/>
        </w:trPr>
        <w:tc>
          <w:tcPr>
            <w:tcBorders>
              <w:top w:val="single" w:sz="1" w:space="0" w:color="000000"/>
              <w:bottom w:val="single" w:sz="1" w:space="0" w:color="000000"/>
            </w:tcBorders>
          </w:tcPr>
          <w:p>
            <w:pPr>
              <w:spacing w:lineRule="auto"/>
            </w:pPr>
            <w:r>
              <w:rPr/>
              <w:t xml:space="preserve">Approval time benchmarks</w:t>
            </w:r>
          </w:p>
        </w:tc>
        <w:tc>
          <w:tcPr>
            <w:tcBorders>
              <w:top w:val="single" w:sz="1" w:space="0" w:color="000000"/>
              <w:left w:val="single" w:sz="1" w:space="0" w:color="000000"/>
              <w:bottom w:val="single" w:sz="1" w:space="0" w:color="000000"/>
            </w:tcBorders>
          </w:tcPr>
          <w:p>
            <w:pPr>
              <w:spacing w:lineRule="auto"/>
            </w:pPr>
            <w:r>
              <w:rPr/>
              <w:t xml:space="preserve">ResolvePay</w:t>
            </w:r>
          </w:p>
        </w:tc>
        <w:tc>
          <w:tcPr>
            <w:tcBorders>
              <w:top w:val="single" w:sz="1" w:space="0" w:color="000000"/>
              <w:left w:val="single" w:sz="1" w:space="0" w:color="000000"/>
              <w:bottom w:val="single" w:sz="1" w:space="0" w:color="000000"/>
            </w:tcBorders>
          </w:tcPr>
          <w:p>
            <w:pPr>
              <w:spacing w:lineRule="auto"/>
            </w:pPr>
            <w:r>
              <w:rPr/>
              <w:t xml:space="preserve">Nov 2025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2–5 days avg; 6.2 days SMB</w:t>
            </w:r>
          </w:p>
        </w:tc>
      </w:tr>
      <w:tr>
        <w:trPr>
          <w:cantSplit/>
        </w:trPr>
        <w:tc>
          <w:tcPr>
            <w:tcBorders>
              <w:top w:val="single" w:sz="1" w:space="0" w:color="000000"/>
              <w:bottom w:val="single" w:sz="1" w:space="0" w:color="000000"/>
            </w:tcBorders>
          </w:tcPr>
          <w:p>
            <w:pPr>
              <w:spacing w:lineRule="auto"/>
            </w:pPr>
            <w:r>
              <w:rPr/>
              <w:t xml:space="preserve">Data quality as delay factor</w:t>
            </w:r>
          </w:p>
        </w:tc>
        <w:tc>
          <w:tcPr>
            <w:tcBorders>
              <w:top w:val="single" w:sz="1" w:space="0" w:color="000000"/>
              <w:left w:val="single" w:sz="1" w:space="0" w:color="000000"/>
              <w:bottom w:val="single" w:sz="1" w:space="0" w:color="000000"/>
            </w:tcBorders>
          </w:tcPr>
          <w:p>
            <w:pPr>
              <w:spacing w:lineRule="auto"/>
            </w:pPr>
            <w:r>
              <w:rPr/>
              <w:t xml:space="preserve">ResolvePay</w:t>
            </w:r>
          </w:p>
        </w:tc>
        <w:tc>
          <w:tcPr>
            <w:tcBorders>
              <w:top w:val="single" w:sz="1" w:space="0" w:color="000000"/>
              <w:left w:val="single" w:sz="1" w:space="0" w:color="000000"/>
              <w:bottom w:val="single" w:sz="1" w:space="0" w:color="000000"/>
            </w:tcBorders>
          </w:tcPr>
          <w:p>
            <w:pPr>
              <w:spacing w:lineRule="auto"/>
            </w:pPr>
            <w:r>
              <w:rPr/>
              <w:t xml:space="preserve">Nov 2025</w:t>
            </w:r>
          </w:p>
        </w:tc>
        <w:tc>
          <w:tcPr>
            <w:tcBorders>
              <w:top w:val="single" w:sz="1" w:space="0" w:color="000000"/>
              <w:left w:val="single" w:sz="1" w:space="0" w:color="000000"/>
              <w:bottom w:val="single" w:sz="1" w:space="0" w:color="000000"/>
            </w:tcBorders>
          </w:tcPr>
          <w:p>
            <w:pPr>
              <w:spacing w:lineRule="auto"/>
            </w:pPr>
            <w:r>
              <w:rPr/>
              <w:t xml:space="preserve">68% of delays from missing info</w:t>
            </w:r>
          </w:p>
        </w:tc>
      </w:tr>
      <w:tr>
        <w:trPr>
          <w:cantSplit/>
        </w:trPr>
        <w:tc>
          <w:tcPr>
            <w:tcBorders>
              <w:top w:val="single" w:sz="1" w:space="0" w:color="000000"/>
              <w:bottom w:val="single" w:sz="1" w:space="0" w:color="000000"/>
            </w:tcBorders>
          </w:tcPr>
          <w:p>
            <w:pPr>
              <w:spacing w:lineRule="auto"/>
            </w:pPr>
            <w:r>
              <w:rPr/>
              <w:t xml:space="preserve">Equipment finance originations</w:t>
            </w:r>
          </w:p>
        </w:tc>
        <w:tc>
          <w:tcPr>
            <w:tcBorders>
              <w:top w:val="single" w:sz="1" w:space="0" w:color="000000"/>
              <w:left w:val="single" w:sz="1" w:space="0" w:color="000000"/>
              <w:bottom w:val="single" w:sz="1" w:space="0" w:color="000000"/>
            </w:tcBorders>
          </w:tcPr>
          <w:p>
            <w:pPr>
              <w:spacing w:lineRule="auto"/>
            </w:pPr>
            <w:r>
              <w:rPr/>
              <w:t xml:space="preserve">Equipment Finance News</w:t>
            </w:r>
          </w:p>
        </w:tc>
        <w:tc>
          <w:tcPr>
            <w:tcBorders>
              <w:top w:val="single" w:sz="1" w:space="0" w:color="000000"/>
              <w:left w:val="single" w:sz="1" w:space="0" w:color="000000"/>
              <w:bottom w:val="single" w:sz="1" w:space="0" w:color="000000"/>
            </w:tcBorders>
          </w:tcPr>
          <w:p>
            <w:pPr>
              <w:spacing w:lineRule="auto"/>
            </w:pPr>
            <w:r>
              <w:rPr/>
              <w:t xml:space="preserve">Nov 2025</w:t>
            </w:r>
          </w:p>
        </w:tc>
        <w:tc>
          <w:tcPr>
            <w:tcBorders>
              <w:top w:val="single" w:sz="1" w:space="0" w:color="000000"/>
              <w:left w:val="single" w:sz="1" w:space="0" w:color="000000"/>
              <w:bottom w:val="single" w:sz="1" w:space="0" w:color="000000"/>
            </w:tcBorders>
          </w:tcPr>
          <w:p>
            <w:pPr>
              <w:spacing w:lineRule="auto"/>
            </w:pPr>
            <w:r>
              <w:rPr/>
              <w:t xml:space="preserve">5.7% increase in new business</w:t>
            </w:r>
          </w:p>
        </w:tc>
      </w:tr>
      <w:tr>
        <w:trPr>
          <w:cantSplit/>
        </w:trPr>
        <w:tc>
          <w:tcPr>
            <w:tcBorders>
              <w:top w:val="single" w:sz="1" w:space="0" w:color="000000"/>
              <w:bottom w:val="single" w:sz="1" w:space="0" w:color="000000"/>
            </w:tcBorders>
          </w:tcPr>
          <w:p>
            <w:pPr>
              <w:spacing w:lineRule="auto"/>
            </w:pPr>
            <w:r>
              <w:rPr/>
              <w:t xml:space="preserve">Digital adoption in ag retail</w:t>
            </w:r>
          </w:p>
        </w:tc>
        <w:tc>
          <w:tcPr>
            <w:tcBorders>
              <w:top w:val="single" w:sz="1" w:space="0" w:color="000000"/>
              <w:left w:val="single" w:sz="1" w:space="0" w:color="000000"/>
              <w:bottom w:val="single" w:sz="1" w:space="0" w:color="000000"/>
            </w:tcBorders>
          </w:tcPr>
          <w:p>
            <w:pPr>
              <w:spacing w:lineRule="auto"/>
            </w:pPr>
            <w:r>
              <w:rPr/>
              <w:t xml:space="preserve">AgVend</w:t>
            </w:r>
          </w:p>
        </w:tc>
        <w:tc>
          <w:tcPr>
            <w:tcBorders>
              <w:top w:val="single" w:sz="1" w:space="0" w:color="000000"/>
              <w:left w:val="single" w:sz="1" w:space="0" w:color="000000"/>
              <w:bottom w:val="single" w:sz="1" w:space="0" w:color="000000"/>
            </w:tcBorders>
          </w:tcPr>
          <w:p>
            <w:pPr>
              <w:spacing w:lineRule="auto"/>
            </w:pPr>
            <w:r>
              <w:rPr/>
              <w:t xml:space="preserve">May 2024</w:t>
            </w:r>
          </w:p>
        </w:tc>
        <w:tc>
          <w:tcPr>
            <w:tcBorders>
              <w:top w:val="single" w:sz="1" w:space="0" w:color="000000"/>
              <w:left w:val="single" w:sz="1" w:space="0" w:color="000000"/>
              <w:bottom w:val="single" w:sz="1" w:space="0" w:color="000000"/>
            </w:tcBorders>
          </w:tcPr>
          <w:p>
            <w:pPr>
              <w:spacing w:lineRule="auto"/>
            </w:pPr>
            <w:r>
              <w:rPr/>
              <w:t xml:space="preserve">5 levels of digital maturity</w:t>
            </w:r>
          </w:p>
        </w:tc>
      </w:tr>
      <w:tr>
        <w:trPr>
          <w:cantSplit/>
        </w:trPr>
        <w:tc>
          <w:tcPr>
            <w:tcBorders>
              <w:top w:val="single" w:sz="1" w:space="0" w:color="000000"/>
              <w:bottom w:val="single" w:sz="1" w:space="0" w:color="000000"/>
            </w:tcBorders>
          </w:tcPr>
          <w:p>
            <w:pPr>
              <w:spacing w:lineRule="auto"/>
            </w:pPr>
            <w:r>
              <w:rPr/>
              <w:t xml:space="preserve">Dealer as distribution channel</w:t>
            </w:r>
          </w:p>
        </w:tc>
        <w:tc>
          <w:tcPr>
            <w:tcBorders>
              <w:top w:val="single" w:sz="1" w:space="0" w:color="000000"/>
              <w:left w:val="single" w:sz="1" w:space="0" w:color="000000"/>
              <w:bottom w:val="single" w:sz="1" w:space="0" w:color="000000"/>
            </w:tcBorders>
          </w:tcPr>
          <w:p>
            <w:pPr>
              <w:spacing w:lineRule="auto"/>
            </w:pPr>
            <w:r>
              <w:rPr/>
              <w:t xml:space="preserve">Farm Equipment</w:t>
            </w:r>
          </w:p>
        </w:tc>
        <w:tc>
          <w:tcPr>
            <w:tcBorders>
              <w:top w:val="single" w:sz="1" w:space="0" w:color="000000"/>
              <w:left w:val="single" w:sz="1" w:space="0" w:color="000000"/>
              <w:bottom w:val="single" w:sz="1" w:space="0" w:color="000000"/>
            </w:tcBorders>
          </w:tcPr>
          <w:p>
            <w:pPr>
              <w:spacing w:lineRule="auto"/>
            </w:pPr>
            <w:r>
              <w:rPr/>
              <w:t xml:space="preserve">2024</w:t>
            </w:r>
          </w:p>
        </w:tc>
        <w:tc>
          <w:tcPr>
            <w:tcBorders>
              <w:top w:val="single" w:sz="1" w:space="0" w:color="000000"/>
              <w:left w:val="single" w:sz="1" w:space="0" w:color="000000"/>
              <w:bottom w:val="single" w:sz="1" w:space="0" w:color="000000"/>
            </w:tcBorders>
          </w:tcPr>
          <w:p>
            <w:pPr>
              <w:spacing w:lineRule="auto"/>
            </w:pPr>
            <w:r>
              <w:rPr/>
              <w:t xml:space="preserve">70%+ of equipment financing</w:t>
            </w:r>
          </w:p>
        </w:tc>
      </w:tr>
    </w:tbl>
    <w:p>
      <w:pPr>
        <w:spacing w:lineRule="auto"/>
      </w:pPr>
    </w:p>
    <w:p>
      <w:pPr>
        <w:spacing w:line="271" w:before="240" w:lineRule="auto"/>
      </w:pPr>
      <w:bookmarkStart w:id="103" w:name="additional_supporting_materials_r_cddeda"/>
      <w:r>
        <w:rPr>
          <w:b/>
          <w:sz w:val="33"/>
        </w:rPr>
        <w:t xml:space="preserve">Additional Supporting Materials (Recommended)</w:t>
      </w:r>
      <w:bookmarkEnd w:id="103"/>
    </w:p>
    <w:p>
      <w:pPr>
        <w:numPr>
          <w:ilvl w:val="0"/>
          <w:numId w:val="132"/>
        </w:numPr>
        <w:spacing w:lineRule="auto"/>
      </w:pPr>
      <w:r>
        <w:rPr>
          <w:b/>
        </w:rPr>
        <w:t xml:space="preserve">Design Partner LOIs</w:t>
      </w:r>
      <w:r>
        <w:rPr>
          <w:rFonts w:eastAsia="Georgia" w:cs="Georgia" w:ascii="Georgia" w:hAnsi="Georgia"/>
        </w:rPr>
        <w:t xml:space="preserve">: Signed letters of intent from 5–10 prospective dealers (validates demand)</w:t>
      </w:r>
    </w:p>
    <w:p>
      <w:pPr>
        <w:numPr>
          <w:ilvl w:val="0"/>
          <w:numId w:val="132"/>
        </w:numPr>
        <w:spacing w:lineRule="auto"/>
      </w:pPr>
      <w:r>
        <w:rPr>
          <w:b/>
        </w:rPr>
        <w:t xml:space="preserve">Lender Integration Feasibility Study</w:t>
      </w:r>
      <w:r>
        <w:rPr>
          <w:rFonts w:eastAsia="Georgia" w:cs="Georgia" w:ascii="Georgia" w:hAnsi="Georgia"/>
        </w:rPr>
        <w:t xml:space="preserve">: 3–4 page technical assessment showing integration timelines and complexity per lender type</w:t>
      </w:r>
    </w:p>
    <w:p>
      <w:pPr>
        <w:numPr>
          <w:ilvl w:val="0"/>
          <w:numId w:val="132"/>
        </w:numPr>
        <w:spacing w:lineRule="auto"/>
      </w:pPr>
      <w:r>
        <w:rPr>
          <w:b/>
        </w:rPr>
        <w:t xml:space="preserve">Dealer ROI Calculator</w:t>
      </w:r>
      <w:r>
        <w:rPr/>
        <w:t xml:space="preserve">: Spreadsheet tool showing time savings, deal conversion uplift, and cost impact per dealer</w:t>
      </w:r>
    </w:p>
    <w:p>
      <w:pPr>
        <w:numPr>
          <w:ilvl w:val="0"/>
          <w:numId w:val="132"/>
        </w:numPr>
        <w:spacing w:lineRule="auto"/>
      </w:pPr>
      <w:r>
        <w:rPr>
          <w:b/>
        </w:rPr>
        <w:t xml:space="preserve">Competitive Comparison Matrix</w:t>
      </w:r>
      <w:r>
        <w:rPr/>
        <w:t xml:space="preserve">: Detailed grid comparing our platform vs. captives, banks, Farm Credit, and fintechs</w:t>
      </w:r>
    </w:p>
    <w:p>
      <w:pPr>
        <w:numPr>
          <w:ilvl w:val="0"/>
          <w:numId w:val="132"/>
        </w:numPr>
        <w:spacing w:lineRule="auto"/>
      </w:pPr>
      <w:r>
        <w:rPr>
          <w:b/>
        </w:rPr>
        <w:t xml:space="preserve">Regulatory Compliance Summary</w:t>
      </w:r>
      <w:r>
        <w:rPr/>
        <w:t xml:space="preserve">: One-page overview of ECOA, FCRA, GLBA, and state-level requirements (non-legal document)</w:t>
      </w:r>
    </w:p>
    <w:p>
      <w:pPr>
        <w:numPr>
          <w:ilvl w:val="0"/>
          <w:numId w:val="132"/>
        </w:numPr>
        <w:spacing w:lineRule="auto"/>
      </w:pPr>
      <w:r>
        <w:rPr>
          <w:b/>
        </w:rPr>
        <w:t xml:space="preserve">Market Sizing Appendix</w:t>
      </w:r>
      <w:r>
        <w:rPr/>
        <w:t xml:space="preserve">: Detailed TAM/SAM/SOM calculations with bottom-up and top-down validation</w:t>
      </w:r>
    </w:p>
    <w:p>
      <w:pPr>
        <w:numPr>
          <w:ilvl w:val="0"/>
          <w:numId w:val="132"/>
        </w:numPr>
        <w:spacing w:lineRule="auto"/>
      </w:pPr>
      <w:r>
        <w:rPr>
          <w:b/>
        </w:rPr>
        <w:t xml:space="preserve">Product Mockups</w:t>
      </w:r>
      <w:r>
        <w:rPr/>
        <w:t xml:space="preserve">: Dealer portal, borrower application, lender console UI/UX mockups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4" w:name="supporting_one_pagers"/>
      <w:r>
        <w:rPr>
          <w:b/>
          <w:sz w:val="42"/>
        </w:rPr>
        <w:t xml:space="preserve">SUPPORTING ONE-PAGERS</w:t>
      </w:r>
      <w:bookmarkEnd w:id="104"/>
    </w:p>
    <w:p>
      <w:pPr>
        <w:spacing w:line="271" w:before="240" w:lineRule="auto"/>
      </w:pPr>
      <w:bookmarkStart w:id="105" w:name="dealer_one_pager_for_sales_conversations"/>
      <w:r>
        <w:rPr>
          <w:b/>
          <w:sz w:val="33"/>
        </w:rPr>
        <w:t xml:space="preserve">DEALER ONE-PAGER (For Sales Conversations)</w:t>
      </w:r>
      <w:bookmarkEnd w:id="105"/>
    </w:p>
    <w:p>
      <w:pPr>
        <w:spacing w:after="210" w:lineRule="auto"/>
      </w:pPr>
      <w:r>
        <w:rPr>
          <w:b/>
        </w:rPr>
        <w:t xml:space="preserve">The Problem You're Solving</w:t>
      </w:r>
    </w:p>
    <w:p>
      <w:pPr>
        <w:spacing w:after="210" w:lineRule="auto"/>
      </w:pPr>
      <w:r>
        <w:rPr>
          <w:rFonts w:eastAsia="Georgia" w:cs="Georgia" w:ascii="Georgia" w:hAnsi="Georgia"/>
        </w:rPr>
        <w:t xml:space="preserve">Every day, your sales team navigates 5–15 different lender portals. You re-enter customer data into each one. You chase documents via email and text. Approvals take 5–10 days. Customers walk.</w:t>
      </w:r>
    </w:p>
    <w:p>
      <w:pPr>
        <w:spacing w:after="210" w:lineRule="auto"/>
      </w:pPr>
      <w:r>
        <w:rPr>
          <w:b/>
        </w:rPr>
        <w:t xml:space="preserve">The Solution</w:t>
      </w:r>
    </w:p>
    <w:p>
      <w:pPr>
        <w:spacing w:after="210" w:lineRule="auto"/>
      </w:pPr>
      <w:r>
        <w:rPr/>
        <w:t xml:space="preserve">One unified platform. One login. One workflow for all your lenders. Faster approvals. Higher close rates.</w:t>
      </w:r>
    </w:p>
    <w:p>
      <w:pPr>
        <w:spacing w:after="210" w:lineRule="auto"/>
      </w:pPr>
      <w:r>
        <w:rPr>
          <w:b/>
        </w:rPr>
        <w:t xml:space="preserve">Your Gains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Target</w:t>
            </w:r>
          </w:p>
        </w:tc>
        <w:tc>
          <w:tcPr>
            <w:tcBorders>
              <w:top w:val="single" w:sz="1" w:space="0" w:color="000000"/>
              <w:left w:val="single" w:sz="1" w:space="0" w:color="000000"/>
              <w:bottom w:val="single" w:sz="1" w:space="0" w:color="000000"/>
            </w:tcBorders>
          </w:tcPr>
          <w:p>
            <w:pPr>
              <w:spacing w:lineRule="auto"/>
            </w:pPr>
            <w:r>
              <w:rPr/>
              <w:t xml:space="preserve">Impact</w:t>
            </w:r>
          </w:p>
        </w:tc>
      </w:tr>
      <w:tr>
        <w:trPr>
          <w:cantSplit/>
        </w:trPr>
        <w:tc>
          <w:tcPr>
            <w:tcBorders>
              <w:top w:val="single" w:sz="1" w:space="0" w:color="000000"/>
              <w:bottom w:val="single" w:sz="1" w:space="0" w:color="000000"/>
            </w:tcBorders>
          </w:tcPr>
          <w:p>
            <w:pPr>
              <w:spacing w:lineRule="auto"/>
            </w:pPr>
            <w:r>
              <w:rPr/>
              <w:t xml:space="preserve">Administrative time/deal</w:t>
            </w:r>
          </w:p>
        </w:tc>
        <w:tc>
          <w:tcPr>
            <w:tcBorders>
              <w:top w:val="single" w:sz="1" w:space="0" w:color="000000"/>
              <w:left w:val="single" w:sz="1" w:space="0" w:color="000000"/>
              <w:bottom w:val="single" w:sz="1" w:space="0" w:color="000000"/>
            </w:tcBorders>
          </w:tcPr>
          <w:p>
            <w:pPr>
              <w:spacing w:lineRule="auto"/>
            </w:pPr>
            <w:r>
              <w:rPr/>
              <w:t xml:space="preserve">-45 min</w:t>
            </w:r>
          </w:p>
        </w:tc>
        <w:tc>
          <w:tcPr>
            <w:tcBorders>
              <w:top w:val="single" w:sz="1" w:space="0" w:color="000000"/>
              <w:left w:val="single" w:sz="1" w:space="0" w:color="000000"/>
              <w:bottom w:val="single" w:sz="1" w:space="0" w:color="000000"/>
            </w:tcBorders>
          </w:tcPr>
          <w:p>
            <w:pPr>
              <w:spacing w:lineRule="auto"/>
            </w:pPr>
            <w:r>
              <w:rPr/>
              <w:t xml:space="preserve">Free up sales team</w:t>
            </w:r>
          </w:p>
        </w:tc>
      </w:tr>
      <w:tr>
        <w:trPr>
          <w:cantSplit/>
        </w:trPr>
        <w:tc>
          <w:tcPr>
            <w:tcBorders>
              <w:top w:val="single" w:sz="1" w:space="0" w:color="000000"/>
              <w:bottom w:val="single" w:sz="1" w:space="0" w:color="000000"/>
            </w:tcBorders>
          </w:tcPr>
          <w:p>
            <w:pPr>
              <w:spacing w:lineRule="auto"/>
            </w:pPr>
            <w:r>
              <w:rPr/>
              <w:t xml:space="preserve">Approval time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-30–40%</w:t>
            </w:r>
          </w:p>
        </w:tc>
        <w:tc>
          <w:tcPr>
            <w:tcBorders>
              <w:top w:val="single" w:sz="1" w:space="0" w:color="000000"/>
              <w:left w:val="single" w:sz="1" w:space="0" w:color="000000"/>
              <w:bottom w:val="single" w:sz="1" w:space="0" w:color="000000"/>
            </w:tcBorders>
          </w:tcPr>
          <w:p>
            <w:pPr>
              <w:spacing w:lineRule="auto"/>
            </w:pPr>
            <w:r>
              <w:rPr/>
              <w:t xml:space="preserve">Close deals faster</w:t>
            </w:r>
          </w:p>
        </w:tc>
      </w:tr>
      <w:tr>
        <w:trPr>
          <w:cantSplit/>
        </w:trPr>
        <w:tc>
          <w:tcPr>
            <w:tcBorders>
              <w:top w:val="single" w:sz="1" w:space="0" w:color="000000"/>
              <w:bottom w:val="single" w:sz="1" w:space="0" w:color="000000"/>
            </w:tcBorders>
          </w:tcPr>
          <w:p>
            <w:pPr>
              <w:spacing w:lineRule="auto"/>
            </w:pPr>
            <w:r>
              <w:rPr/>
              <w:t xml:space="preserve">Deal conversion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+15–20%</w:t>
            </w:r>
          </w:p>
        </w:tc>
        <w:tc>
          <w:tcPr>
            <w:tcBorders>
              <w:top w:val="single" w:sz="1" w:space="0" w:color="000000"/>
              <w:left w:val="single" w:sz="1" w:space="0" w:color="000000"/>
              <w:bottom w:val="single" w:sz="1" w:space="0" w:color="000000"/>
            </w:tcBorders>
          </w:tcPr>
          <w:p>
            <w:pPr>
              <w:spacing w:lineRule="auto"/>
            </w:pPr>
            <w:r>
              <w:rPr/>
              <w:t xml:space="preserve">Convert more customers</w:t>
            </w:r>
          </w:p>
        </w:tc>
      </w:tr>
      <w:tr>
        <w:trPr>
          <w:cantSplit/>
        </w:trPr>
        <w:tc>
          <w:tcPr>
            <w:tcBorders>
              <w:top w:val="single" w:sz="1" w:space="0" w:color="000000"/>
              <w:bottom w:val="single" w:sz="1" w:space="0" w:color="000000"/>
            </w:tcBorders>
          </w:tcPr>
          <w:p>
            <w:pPr>
              <w:spacing w:lineRule="auto"/>
            </w:pPr>
            <w:r>
              <w:rPr/>
              <w:t xml:space="preserve">Lender shopping</w:t>
            </w:r>
          </w:p>
        </w:tc>
        <w:tc>
          <w:tcPr>
            <w:tcBorders>
              <w:top w:val="single" w:sz="1" w:space="0" w:color="000000"/>
              <w:left w:val="single" w:sz="1" w:space="0" w:color="000000"/>
              <w:bottom w:val="single" w:sz="1" w:space="0" w:color="000000"/>
            </w:tcBorders>
          </w:tcPr>
          <w:p>
            <w:pPr>
              <w:spacing w:lineRule="auto"/>
            </w:pPr>
            <w:r>
              <w:rPr/>
              <w:t xml:space="preserve">5+ options</w:t>
            </w:r>
          </w:p>
        </w:tc>
        <w:tc>
          <w:tcPr>
            <w:tcBorders>
              <w:top w:val="single" w:sz="1" w:space="0" w:color="000000"/>
              <w:left w:val="single" w:sz="1" w:space="0" w:color="000000"/>
              <w:bottom w:val="single" w:sz="1" w:space="0" w:color="000000"/>
            </w:tcBorders>
          </w:tcPr>
          <w:p>
            <w:pPr>
              <w:spacing w:lineRule="auto"/>
            </w:pPr>
            <w:r>
              <w:rPr/>
              <w:t xml:space="preserve">Better rates for customers</w:t>
            </w:r>
          </w:p>
        </w:tc>
      </w:tr>
    </w:tbl>
    <w:p>
      <w:pPr>
        <w:spacing w:lineRule="auto"/>
      </w:pPr>
    </w:p>
    <w:p>
      <w:pPr>
        <w:spacing w:after="210" w:lineRule="auto"/>
      </w:pPr>
      <w:r>
        <w:rPr>
          <w:b/>
        </w:rPr>
        <w:t xml:space="preserve">Pricing</w:t>
      </w:r>
    </w:p>
    <w:p>
      <w:pPr>
        <w:spacing w:after="210" w:lineRule="auto"/>
      </w:pPr>
      <w:r>
        <w:rPr>
          <w:rFonts w:eastAsia="Georgia" w:cs="Georgia" w:ascii="Georgia" w:hAnsi="Georgia"/>
        </w:rPr>
        <w:t xml:space="preserve">$300–$900/month depending on dealership size. No setup fees. No per-transaction charges. ROI breakeven in 1–2 months.</w:t>
      </w:r>
    </w:p>
    <w:p>
      <w:pPr>
        <w:spacing w:after="210" w:lineRule="auto"/>
      </w:pPr>
      <w:r>
        <w:rPr>
          <w:b/>
        </w:rPr>
        <w:t xml:space="preserve">Timeline</w:t>
      </w:r>
    </w:p>
    <w:p>
      <w:pPr>
        <w:numPr>
          <w:ilvl w:val="0"/>
          <w:numId w:val="133"/>
        </w:numPr>
        <w:spacing w:lineRule="auto"/>
      </w:pPr>
      <w:r>
        <w:rPr/>
        <w:t xml:space="preserve">Week 1: Platform onboarding + training</w:t>
      </w:r>
    </w:p>
    <w:p>
      <w:pPr>
        <w:numPr>
          <w:ilvl w:val="0"/>
          <w:numId w:val="133"/>
        </w:numPr>
        <w:spacing w:lineRule="auto"/>
      </w:pPr>
      <w:r>
        <w:rPr/>
        <w:t xml:space="preserve">Week 2: Connect your lenders (we handle integration)</w:t>
      </w:r>
    </w:p>
    <w:p>
      <w:pPr>
        <w:numPr>
          <w:ilvl w:val="0"/>
          <w:numId w:val="133"/>
        </w:numPr>
        <w:spacing w:lineRule="auto"/>
      </w:pPr>
      <w:r>
        <w:rPr/>
        <w:t xml:space="preserve">Week 3: Live; first deals submitted</w:t>
      </w:r>
    </w:p>
    <w:p>
      <w:pPr>
        <w:numPr>
          <w:ilvl w:val="0"/>
          <w:numId w:val="133"/>
        </w:numPr>
        <w:spacing w:lineRule="auto"/>
      </w:pPr>
      <w:r>
        <w:rPr/>
        <w:t xml:space="preserve">Month 2: Measure results; adjust workflow</w:t>
      </w:r>
    </w:p>
    <w:p>
      <w:pPr>
        <w:spacing w:after="210" w:lineRule="auto"/>
      </w:pPr>
      <w:r>
        <w:rPr>
          <w:b/>
        </w:rPr>
        <w:t xml:space="preserve">Next Steps</w:t>
      </w:r>
    </w:p>
    <w:p>
      <w:pPr>
        <w:numPr>
          <w:ilvl w:val="0"/>
          <w:numId w:val="134"/>
        </w:numPr>
        <w:spacing w:lineRule="auto"/>
      </w:pPr>
      <w:r>
        <w:rPr/>
        <w:t xml:space="preserve">15-min discovery call to discuss your lender mix</w:t>
      </w:r>
    </w:p>
    <w:p>
      <w:pPr>
        <w:numPr>
          <w:ilvl w:val="0"/>
          <w:numId w:val="134"/>
        </w:numPr>
        <w:spacing w:lineRule="auto"/>
      </w:pPr>
      <w:r>
        <w:rPr/>
        <w:t xml:space="preserve">Free trial with one active lender (no commitment)</w:t>
      </w:r>
    </w:p>
    <w:p>
      <w:pPr>
        <w:numPr>
          <w:ilvl w:val="0"/>
          <w:numId w:val="134"/>
        </w:numPr>
        <w:spacing w:lineRule="auto"/>
      </w:pPr>
      <w:r>
        <w:rPr/>
        <w:t xml:space="preserve">Reference call with existing dealer partner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6" w:name="lender_one_pager_for_originations_5a2734"/>
      <w:r>
        <w:rPr>
          <w:b/>
          <w:sz w:val="33"/>
        </w:rPr>
        <w:t xml:space="preserve">LENDER ONE-PAGER (For Originations/Credit Teams)</w:t>
      </w:r>
      <w:bookmarkEnd w:id="106"/>
    </w:p>
    <w:p>
      <w:pPr>
        <w:spacing w:after="210" w:lineRule="auto"/>
      </w:pPr>
      <w:r>
        <w:rPr>
          <w:b/>
        </w:rPr>
        <w:t xml:space="preserve">The Opportunity</w:t>
      </w:r>
    </w:p>
    <w:p>
      <w:pPr>
        <w:spacing w:after="210" w:lineRule="auto"/>
      </w:pPr>
      <w:r>
        <w:rPr/>
        <w:t xml:space="preserve">Dealer-originated deal flow is </w:t>
      </w:r>
      <w:r>
        <w:rPr>
          <w:b/>
        </w:rPr>
        <w:t xml:space="preserve">70% of equipment financing</w:t>
      </w:r>
      <w:r>
        <w:rPr>
          <w:rFonts w:eastAsia="Georgia" w:cs="Georgia" w:ascii="Georgia" w:hAnsi="Georgia"/>
        </w:rPr>
        <w:t xml:space="preserve">, but it arrives incomplete and slow. Dealers submit deals to 5–10 lenders manually. Underwriting cost: high. Completion rate: low. Time-to-decision: variable.</w:t>
      </w:r>
    </w:p>
    <w:p>
      <w:pPr>
        <w:spacing w:after="210" w:lineRule="auto"/>
      </w:pPr>
      <w:r>
        <w:rPr>
          <w:b/>
        </w:rPr>
        <w:t xml:space="preserve">Our Solution</w:t>
      </w:r>
    </w:p>
    <w:p>
      <w:pPr>
        <w:spacing w:after="210" w:lineRule="auto"/>
      </w:pPr>
      <w:r>
        <w:rPr/>
        <w:t xml:space="preserve">Standardized, pre-vetted applications delivered directly from dealers. Automation handles document collection and compliance. You focus on credit decisioning.</w:t>
      </w:r>
    </w:p>
    <w:p>
      <w:pPr>
        <w:spacing w:after="210" w:lineRule="auto"/>
      </w:pPr>
      <w:r>
        <w:rPr>
          <w:b/>
        </w:rPr>
        <w:t xml:space="preserve">Your Gains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Improvement</w:t>
            </w:r>
          </w:p>
        </w:tc>
        <w:tc>
          <w:tcPr>
            <w:tcBorders>
              <w:top w:val="single" w:sz="1" w:space="0" w:color="000000"/>
              <w:left w:val="single" w:sz="1" w:space="0" w:color="000000"/>
              <w:bottom w:val="single" w:sz="1" w:space="0" w:color="000000"/>
            </w:tcBorders>
          </w:tcPr>
          <w:p>
            <w:pPr>
              <w:spacing w:lineRule="auto"/>
            </w:pPr>
            <w:r>
              <w:rPr/>
              <w:t xml:space="preserve">ROI</w:t>
            </w:r>
          </w:p>
        </w:tc>
      </w:tr>
      <w:tr>
        <w:trPr>
          <w:cantSplit/>
        </w:trPr>
        <w:tc>
          <w:tcPr>
            <w:tcBorders>
              <w:top w:val="single" w:sz="1" w:space="0" w:color="000000"/>
              <w:bottom w:val="single" w:sz="1" w:space="0" w:color="000000"/>
            </w:tcBorders>
          </w:tcPr>
          <w:p>
            <w:pPr>
              <w:spacing w:lineRule="auto"/>
            </w:pPr>
            <w:r>
              <w:rPr/>
              <w:t xml:space="preserve">Underwriting cost/loan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-20–30%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$200–300 savings</w:t>
            </w:r>
          </w:p>
        </w:tc>
      </w:tr>
      <w:tr>
        <w:trPr>
          <w:cantSplit/>
        </w:trPr>
        <w:tc>
          <w:tcPr>
            <w:tcBorders>
              <w:top w:val="single" w:sz="1" w:space="0" w:color="000000"/>
              <w:bottom w:val="single" w:sz="1" w:space="0" w:color="000000"/>
            </w:tcBorders>
          </w:tcPr>
          <w:p>
            <w:pPr>
              <w:spacing w:lineRule="auto"/>
            </w:pPr>
            <w:r>
              <w:rPr/>
              <w:t xml:space="preserve">Application completion</w:t>
            </w:r>
          </w:p>
        </w:tc>
        <w:tc>
          <w:tcPr>
            <w:tcBorders>
              <w:top w:val="single" w:sz="1" w:space="0" w:color="000000"/>
              <w:left w:val="single" w:sz="1" w:space="0" w:color="000000"/>
              <w:bottom w:val="single" w:sz="1" w:space="0" w:color="000000"/>
            </w:tcBorders>
          </w:tcPr>
          <w:p>
            <w:pPr>
              <w:spacing w:lineRule="auto"/>
            </w:pPr>
            <w:r>
              <w:rPr/>
              <w:t xml:space="preserve">+68% fewer missing docs</w:t>
            </w:r>
          </w:p>
        </w:tc>
        <w:tc>
          <w:tcPr>
            <w:tcBorders>
              <w:top w:val="single" w:sz="1" w:space="0" w:color="000000"/>
              <w:left w:val="single" w:sz="1" w:space="0" w:color="000000"/>
              <w:bottom w:val="single" w:sz="1" w:space="0" w:color="000000"/>
            </w:tcBorders>
          </w:tcPr>
          <w:p>
            <w:pPr>
              <w:spacing w:lineRule="auto"/>
            </w:pPr>
            <w:r>
              <w:rPr/>
              <w:t xml:space="preserve">Faster turnaround</w:t>
            </w:r>
          </w:p>
        </w:tc>
      </w:tr>
      <w:tr>
        <w:trPr>
          <w:cantSplit/>
        </w:trPr>
        <w:tc>
          <w:tcPr>
            <w:tcBorders>
              <w:top w:val="single" w:sz="1" w:space="0" w:color="000000"/>
              <w:bottom w:val="single" w:sz="1" w:space="0" w:color="000000"/>
            </w:tcBorders>
          </w:tcPr>
          <w:p>
            <w:pPr>
              <w:spacing w:lineRule="auto"/>
            </w:pPr>
            <w:r>
              <w:rPr/>
              <w:t xml:space="preserve">Time-to-approval</w:t>
            </w:r>
          </w:p>
        </w:tc>
        <w:tc>
          <w:tcPr>
            <w:tcBorders>
              <w:top w:val="single" w:sz="1" w:space="0" w:color="000000"/>
              <w:left w:val="single" w:sz="1" w:space="0" w:color="000000"/>
              <w:bottom w:val="single" w:sz="1" w:space="0" w:color="000000"/>
            </w:tcBorders>
          </w:tcPr>
          <w:p>
            <w:pPr>
              <w:spacing w:lineRule="auto"/>
            </w:pPr>
            <w:r>
              <w:rPr/>
              <w:t xml:space="preserve">-30%</w:t>
            </w:r>
          </w:p>
        </w:tc>
        <w:tc>
          <w:tcPr>
            <w:tcBorders>
              <w:top w:val="single" w:sz="1" w:space="0" w:color="000000"/>
              <w:left w:val="single" w:sz="1" w:space="0" w:color="000000"/>
              <w:bottom w:val="single" w:sz="1" w:space="0" w:color="000000"/>
            </w:tcBorders>
          </w:tcPr>
          <w:p>
            <w:pPr>
              <w:spacing w:lineRule="auto"/>
            </w:pPr>
            <w:r>
              <w:rPr/>
              <w:t xml:space="preserve">Competitive advantage</w:t>
            </w:r>
          </w:p>
        </w:tc>
      </w:tr>
      <w:tr>
        <w:trPr>
          <w:cantSplit/>
        </w:trPr>
        <w:tc>
          <w:tcPr>
            <w:tcBorders>
              <w:top w:val="single" w:sz="1" w:space="0" w:color="000000"/>
              <w:bottom w:val="single" w:sz="1" w:space="0" w:color="000000"/>
            </w:tcBorders>
          </w:tcPr>
          <w:p>
            <w:pPr>
              <w:spacing w:lineRule="auto"/>
            </w:pPr>
            <w:r>
              <w:rPr/>
              <w:t xml:space="preserve">Borrower reach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+20–30% new small farms</w:t>
            </w:r>
          </w:p>
        </w:tc>
        <w:tc>
          <w:tcPr>
            <w:tcBorders>
              <w:top w:val="single" w:sz="1" w:space="0" w:color="000000"/>
              <w:left w:val="single" w:sz="1" w:space="0" w:color="000000"/>
              <w:bottom w:val="single" w:sz="1" w:space="0" w:color="000000"/>
            </w:tcBorders>
          </w:tcPr>
          <w:p>
            <w:pPr>
              <w:spacing w:lineRule="auto"/>
            </w:pPr>
            <w:r>
              <w:rPr/>
              <w:t xml:space="preserve">Portfolio diversification</w:t>
            </w:r>
          </w:p>
        </w:tc>
      </w:tr>
      <w:tr>
        <w:trPr>
          <w:cantSplit/>
        </w:trPr>
        <w:tc>
          <w:tcPr>
            <w:tcBorders>
              <w:top w:val="single" w:sz="1" w:space="0" w:color="000000"/>
              <w:bottom w:val="single" w:sz="1" w:space="0" w:color="000000"/>
            </w:tcBorders>
          </w:tcPr>
          <w:p>
            <w:pPr>
              <w:spacing w:lineRule="auto"/>
            </w:pPr>
            <w:r>
              <w:rPr/>
              <w:t xml:space="preserve">Compliance audit risk</w:t>
            </w:r>
          </w:p>
        </w:tc>
        <w:tc>
          <w:tcPr>
            <w:tcBorders>
              <w:top w:val="single" w:sz="1" w:space="0" w:color="000000"/>
              <w:left w:val="single" w:sz="1" w:space="0" w:color="000000"/>
              <w:bottom w:val="single" w:sz="1" w:space="0" w:color="000000"/>
            </w:tcBorders>
          </w:tcPr>
          <w:p>
            <w:pPr>
              <w:spacing w:lineRule="auto"/>
            </w:pPr>
            <w:r>
              <w:rPr/>
              <w:t xml:space="preserve">-50%</w:t>
            </w:r>
          </w:p>
        </w:tc>
        <w:tc>
          <w:tcPr>
            <w:tcBorders>
              <w:top w:val="single" w:sz="1" w:space="0" w:color="000000"/>
              <w:left w:val="single" w:sz="1" w:space="0" w:color="000000"/>
              <w:bottom w:val="single" w:sz="1" w:space="0" w:color="000000"/>
            </w:tcBorders>
          </w:tcPr>
          <w:p>
            <w:pPr>
              <w:spacing w:lineRule="auto"/>
            </w:pPr>
            <w:r>
              <w:rPr/>
              <w:t xml:space="preserve">Automated ECOA/FCRA tracking</w:t>
            </w:r>
          </w:p>
        </w:tc>
      </w:tr>
    </w:tbl>
    <w:p>
      <w:pPr>
        <w:spacing w:lineRule="auto"/>
      </w:pPr>
    </w:p>
    <w:p>
      <w:pPr>
        <w:spacing w:after="210" w:lineRule="auto"/>
      </w:pPr>
      <w:r>
        <w:rPr>
          <w:b/>
        </w:rPr>
        <w:t xml:space="preserve">How It Works</w:t>
      </w:r>
    </w:p>
    <w:p>
      <w:pPr>
        <w:numPr>
          <w:ilvl w:val="0"/>
          <w:numId w:val="135"/>
        </w:numPr>
        <w:spacing w:lineRule="auto"/>
      </w:pPr>
      <w:r>
        <w:rPr/>
        <w:t xml:space="preserve">Dealer submits standardized application via our platform</w:t>
      </w:r>
    </w:p>
    <w:p>
      <w:pPr>
        <w:numPr>
          <w:ilvl w:val="0"/>
          <w:numId w:val="135"/>
        </w:numPr>
        <w:spacing w:lineRule="auto"/>
      </w:pPr>
      <w:r>
        <w:rPr/>
        <w:t xml:space="preserve">We verify completeness and compliance (automated)</w:t>
      </w:r>
    </w:p>
    <w:p>
      <w:pPr>
        <w:numPr>
          <w:ilvl w:val="0"/>
          <w:numId w:val="135"/>
        </w:numPr>
        <w:spacing w:lineRule="auto"/>
      </w:pPr>
      <w:r>
        <w:rPr/>
        <w:t xml:space="preserve">You receive clean, organized application package</w:t>
      </w:r>
    </w:p>
    <w:p>
      <w:pPr>
        <w:numPr>
          <w:ilvl w:val="0"/>
          <w:numId w:val="135"/>
        </w:numPr>
        <w:spacing w:lineRule="auto"/>
      </w:pPr>
      <w:r>
        <w:rPr/>
        <w:t xml:space="preserve">You make credit decision in your standard SLA</w:t>
      </w:r>
    </w:p>
    <w:p>
      <w:pPr>
        <w:numPr>
          <w:ilvl w:val="0"/>
          <w:numId w:val="135"/>
        </w:numPr>
        <w:spacing w:lineRule="auto"/>
      </w:pPr>
      <w:r>
        <w:rPr/>
        <w:t xml:space="preserve">We notify dealer and borrower in real-time</w:t>
      </w:r>
    </w:p>
    <w:p>
      <w:pPr>
        <w:spacing w:after="210" w:lineRule="auto"/>
      </w:pPr>
      <w:r>
        <w:rPr>
          <w:b/>
        </w:rPr>
        <w:t xml:space="preserve">Economics</w:t>
      </w:r>
    </w:p>
    <w:p>
      <w:pPr>
        <w:spacing w:after="210" w:lineRule="auto"/>
      </w:pPr>
      <w:r>
        <w:rPr>
          <w:rFonts w:eastAsia="Georgia" w:cs="Georgia" w:ascii="Georgia" w:hAnsi="Georgia"/>
        </w:rPr>
        <w:t xml:space="preserve">Success fee: 1.5–2.5% of funded loan amount (no upfront cost; zero cost if deal declines)</w:t>
      </w:r>
    </w:p>
    <w:p>
      <w:pPr>
        <w:spacing w:after="210" w:lineRule="auto"/>
      </w:pPr>
      <w:r>
        <w:rPr>
          <w:b/>
        </w:rPr>
        <w:t xml:space="preserve">Sample ROI (for 100 loans/month)</w:t>
      </w:r>
    </w:p>
    <w:p>
      <w:pPr>
        <w:numPr>
          <w:ilvl w:val="0"/>
          <w:numId w:val="136"/>
        </w:numPr>
        <w:spacing w:lineRule="auto"/>
      </w:pPr>
      <w:r>
        <w:rPr>
          <w:rFonts w:eastAsia="Georgia" w:cs="Georgia" w:ascii="Georgia" w:hAnsi="Georgia"/>
        </w:rPr>
        <w:t xml:space="preserve">Underwriting cost savings: $20K–$30K/month</w:t>
      </w:r>
    </w:p>
    <w:p>
      <w:pPr>
        <w:numPr>
          <w:ilvl w:val="0"/>
          <w:numId w:val="136"/>
        </w:numPr>
        <w:spacing w:lineRule="auto"/>
      </w:pPr>
      <w:r>
        <w:rPr>
          <w:rFonts w:eastAsia="Georgia" w:cs="Georgia" w:ascii="Georgia" w:hAnsi="Georgia"/>
        </w:rPr>
        <w:t xml:space="preserve">Success fee cost: $15K–$25K/month (assuming 2.0% rate)</w:t>
      </w:r>
    </w:p>
    <w:p>
      <w:pPr>
        <w:numPr>
          <w:ilvl w:val="0"/>
          <w:numId w:val="136"/>
        </w:numPr>
        <w:spacing w:lineRule="auto"/>
      </w:pPr>
      <w:r>
        <w:rPr>
          <w:b/>
        </w:rPr>
        <w:t xml:space="preserve">Net benefit: $5K–$10K/month per 100 loans</w:t>
      </w:r>
    </w:p>
    <w:p>
      <w:pPr>
        <w:spacing w:after="210" w:lineRule="auto"/>
      </w:pPr>
      <w:r>
        <w:rPr>
          <w:b/>
        </w:rPr>
        <w:t xml:space="preserve">Next Steps</w:t>
      </w:r>
    </w:p>
    <w:p>
      <w:pPr>
        <w:numPr>
          <w:ilvl w:val="0"/>
          <w:numId w:val="137"/>
        </w:numPr>
        <w:spacing w:lineRule="auto"/>
      </w:pPr>
      <w:r>
        <w:rPr/>
        <w:t xml:space="preserve">20-min architecture review (our tech with your underwriting system)</w:t>
      </w:r>
    </w:p>
    <w:p>
      <w:pPr>
        <w:numPr>
          <w:ilvl w:val="0"/>
          <w:numId w:val="137"/>
        </w:numPr>
        <w:spacing w:lineRule="auto"/>
      </w:pPr>
      <w:r>
        <w:rPr>
          <w:rFonts w:eastAsia="Georgia" w:cs="Georgia" w:ascii="Georgia" w:hAnsi="Georgia"/>
        </w:rPr>
        <w:t xml:space="preserve">API integration planning (4–6 week deployment)</w:t>
      </w:r>
    </w:p>
    <w:p>
      <w:pPr>
        <w:numPr>
          <w:ilvl w:val="0"/>
          <w:numId w:val="137"/>
        </w:numPr>
        <w:spacing w:lineRule="auto"/>
      </w:pPr>
      <w:r>
        <w:rPr>
          <w:rFonts w:eastAsia="Georgia" w:cs="Georgia" w:ascii="Georgia" w:hAnsi="Georgia"/>
        </w:rPr>
        <w:t xml:space="preserve">Pilot program (first 50–100 applications)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7" w:name="oem_partnership_one_pager_for_dea_d2866c"/>
      <w:r>
        <w:rPr>
          <w:b/>
          <w:sz w:val="33"/>
        </w:rPr>
        <w:t xml:space="preserve">OEM PARTNERSHIP ONE-PAGER (For Dealer Network)</w:t>
      </w:r>
      <w:bookmarkEnd w:id="107"/>
    </w:p>
    <w:p>
      <w:pPr>
        <w:spacing w:after="210" w:lineRule="auto"/>
      </w:pPr>
      <w:r>
        <w:rPr>
          <w:b/>
        </w:rPr>
        <w:t xml:space="preserve">The Opportunity</w:t>
      </w:r>
    </w:p>
    <w:p>
      <w:pPr>
        <w:spacing w:after="210" w:lineRule="auto"/>
      </w:pPr>
      <w:r>
        <w:rPr>
          <w:rFonts w:eastAsia="Georgia" w:cs="Georgia" w:ascii="Georgia" w:hAnsi="Georgia"/>
        </w:rPr>
        <w:t xml:space="preserve">Dealer financing conversion is the #1 driver of equipment sales. Yet financing workflows are fragmented and slow. Your dealers navigate manual processes. Some deals abandon. Financing penetration lags.</w:t>
      </w:r>
    </w:p>
    <w:p>
      <w:pPr>
        <w:spacing w:after="210" w:lineRule="auto"/>
      </w:pPr>
      <w:r>
        <w:rPr>
          <w:b/>
        </w:rPr>
        <w:t xml:space="preserve">Our Solution</w:t>
      </w:r>
    </w:p>
    <w:p>
      <w:pPr>
        <w:spacing w:after="210" w:lineRule="auto"/>
      </w:pPr>
      <w:r>
        <w:rPr/>
        <w:t xml:space="preserve">We embed financing directly into your dealer network workflow. Dealers get one unified platform. Customers get faster approvals. Your equipment sales convert higher.</w:t>
      </w:r>
    </w:p>
    <w:p>
      <w:pPr>
        <w:spacing w:after="210" w:lineRule="auto"/>
      </w:pPr>
      <w:r>
        <w:rPr>
          <w:b/>
        </w:rPr>
        <w:t xml:space="preserve">Your Gains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Objective</w:t>
            </w:r>
          </w:p>
        </w:tc>
        <w:tc>
          <w:tcPr>
            <w:tcBorders>
              <w:top w:val="single" w:sz="1" w:space="0" w:color="000000"/>
              <w:left w:val="single" w:sz="1" w:space="0" w:color="000000"/>
              <w:bottom w:val="single" w:sz="1" w:space="0" w:color="000000"/>
            </w:tcBorders>
          </w:tcPr>
          <w:p>
            <w:pPr>
              <w:spacing w:lineRule="auto"/>
            </w:pPr>
            <w:r>
              <w:rPr/>
              <w:t xml:space="preserve">Outcome</w:t>
            </w:r>
          </w:p>
        </w:tc>
        <w:tc>
          <w:tcPr>
            <w:tcBorders>
              <w:top w:val="single" w:sz="1" w:space="0" w:color="000000"/>
              <w:left w:val="single" w:sz="1" w:space="0" w:color="000000"/>
              <w:bottom w:val="single" w:sz="1" w:space="0" w:color="000000"/>
            </w:tcBorders>
          </w:tcPr>
          <w:p>
            <w:pPr>
              <w:spacing w:lineRule="auto"/>
            </w:pPr>
            <w:r>
              <w:rPr/>
              <w:t xml:space="preserve">Impact</w:t>
            </w:r>
          </w:p>
        </w:tc>
      </w:tr>
      <w:tr>
        <w:trPr>
          <w:cantSplit/>
        </w:trPr>
        <w:tc>
          <w:tcPr>
            <w:tcBorders>
              <w:top w:val="single" w:sz="1" w:space="0" w:color="000000"/>
              <w:bottom w:val="single" w:sz="1" w:space="0" w:color="000000"/>
            </w:tcBorders>
          </w:tcPr>
          <w:p>
            <w:pPr>
              <w:spacing w:lineRule="auto"/>
            </w:pPr>
            <w:r>
              <w:rPr/>
              <w:t xml:space="preserve">Dealer throughput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+15–20% financing conversions</w:t>
            </w:r>
          </w:p>
        </w:tc>
        <w:tc>
          <w:tcPr>
            <w:tcBorders>
              <w:top w:val="single" w:sz="1" w:space="0" w:color="000000"/>
              <w:left w:val="single" w:sz="1" w:space="0" w:color="000000"/>
              <w:bottom w:val="single" w:sz="1" w:space="0" w:color="000000"/>
            </w:tcBorders>
          </w:tcPr>
          <w:p>
            <w:pPr>
              <w:spacing w:lineRule="auto"/>
            </w:pPr>
            <w:r>
              <w:rPr/>
              <w:t xml:space="preserve">More units sold</w:t>
            </w:r>
          </w:p>
        </w:tc>
      </w:tr>
      <w:tr>
        <w:trPr>
          <w:cantSplit/>
        </w:trPr>
        <w:tc>
          <w:tcPr>
            <w:tcBorders>
              <w:top w:val="single" w:sz="1" w:space="0" w:color="000000"/>
              <w:bottom w:val="single" w:sz="1" w:space="0" w:color="000000"/>
            </w:tcBorders>
          </w:tcPr>
          <w:p>
            <w:pPr>
              <w:spacing w:lineRule="auto"/>
            </w:pPr>
            <w:r>
              <w:rPr/>
              <w:t xml:space="preserve">Customer experience</w:t>
            </w:r>
          </w:p>
        </w:tc>
        <w:tc>
          <w:tcPr>
            <w:tcBorders>
              <w:top w:val="single" w:sz="1" w:space="0" w:color="000000"/>
              <w:left w:val="single" w:sz="1" w:space="0" w:color="000000"/>
              <w:bottom w:val="single" w:sz="1" w:space="0" w:color="000000"/>
            </w:tcBorders>
          </w:tcPr>
          <w:p>
            <w:pPr>
              <w:spacing w:lineRule="auto"/>
            </w:pPr>
            <w:r>
              <w:rPr/>
              <w:t xml:space="preserve">Financing embedded in DMS</w:t>
            </w:r>
          </w:p>
        </w:tc>
        <w:tc>
          <w:tcPr>
            <w:tcBorders>
              <w:top w:val="single" w:sz="1" w:space="0" w:color="000000"/>
              <w:left w:val="single" w:sz="1" w:space="0" w:color="000000"/>
              <w:bottom w:val="single" w:sz="1" w:space="0" w:color="000000"/>
            </w:tcBorders>
          </w:tcPr>
          <w:p>
            <w:pPr>
              <w:spacing w:lineRule="auto"/>
            </w:pPr>
            <w:r>
              <w:rPr/>
              <w:t xml:space="preserve">Competitive advantage</w:t>
            </w:r>
          </w:p>
        </w:tc>
      </w:tr>
      <w:tr>
        <w:trPr>
          <w:cantSplit/>
        </w:trPr>
        <w:tc>
          <w:tcPr>
            <w:tcBorders>
              <w:top w:val="single" w:sz="1" w:space="0" w:color="000000"/>
              <w:bottom w:val="single" w:sz="1" w:space="0" w:color="000000"/>
            </w:tcBorders>
          </w:tcPr>
          <w:p>
            <w:pPr>
              <w:spacing w:lineRule="auto"/>
            </w:pPr>
            <w:r>
              <w:rPr/>
              <w:t xml:space="preserve">Data insights</w:t>
            </w:r>
          </w:p>
        </w:tc>
        <w:tc>
          <w:tcPr>
            <w:tcBorders>
              <w:top w:val="single" w:sz="1" w:space="0" w:color="000000"/>
              <w:left w:val="single" w:sz="1" w:space="0" w:color="000000"/>
              <w:bottom w:val="single" w:sz="1" w:space="0" w:color="000000"/>
            </w:tcBorders>
          </w:tcPr>
          <w:p>
            <w:pPr>
              <w:spacing w:lineRule="auto"/>
            </w:pPr>
            <w:r>
              <w:rPr/>
              <w:t xml:space="preserve">Real-time financing performance by dealer</w:t>
            </w:r>
          </w:p>
        </w:tc>
        <w:tc>
          <w:tcPr>
            <w:tcBorders>
              <w:top w:val="single" w:sz="1" w:space="0" w:color="000000"/>
              <w:left w:val="single" w:sz="1" w:space="0" w:color="000000"/>
              <w:bottom w:val="single" w:sz="1" w:space="0" w:color="000000"/>
            </w:tcBorders>
          </w:tcPr>
          <w:p>
            <w:pPr>
              <w:spacing w:lineRule="auto"/>
            </w:pPr>
            <w:r>
              <w:rPr/>
              <w:t xml:space="preserve">Incentive program ROI</w:t>
            </w:r>
          </w:p>
        </w:tc>
      </w:tr>
      <w:tr>
        <w:trPr>
          <w:cantSplit/>
        </w:trPr>
        <w:tc>
          <w:tcPr>
            <w:tcBorders>
              <w:top w:val="single" w:sz="1" w:space="0" w:color="000000"/>
              <w:bottom w:val="single" w:sz="1" w:space="0" w:color="000000"/>
            </w:tcBorders>
          </w:tcPr>
          <w:p>
            <w:pPr>
              <w:spacing w:lineRule="auto"/>
            </w:pPr>
            <w:r>
              <w:rPr/>
              <w:t xml:space="preserve">Multi-brand access</w:t>
            </w:r>
          </w:p>
        </w:tc>
        <w:tc>
          <w:tcPr>
            <w:tcBorders>
              <w:top w:val="single" w:sz="1" w:space="0" w:color="000000"/>
              <w:left w:val="single" w:sz="1" w:space="0" w:color="000000"/>
              <w:bottom w:val="single" w:sz="1" w:space="0" w:color="000000"/>
            </w:tcBorders>
          </w:tcPr>
          <w:p>
            <w:pPr>
              <w:spacing w:lineRule="auto"/>
            </w:pPr>
            <w:r>
              <w:rPr/>
              <w:t xml:space="preserve">Dealers offer competitive lenders, not just captive</w:t>
            </w:r>
          </w:p>
        </w:tc>
        <w:tc>
          <w:tcPr>
            <w:tcBorders>
              <w:top w:val="single" w:sz="1" w:space="0" w:color="000000"/>
              <w:left w:val="single" w:sz="1" w:space="0" w:color="000000"/>
              <w:bottom w:val="single" w:sz="1" w:space="0" w:color="000000"/>
            </w:tcBorders>
          </w:tcPr>
          <w:p>
            <w:pPr>
              <w:spacing w:lineRule="auto"/>
            </w:pPr>
            <w:r>
              <w:rPr/>
              <w:t xml:space="preserve">Improved CSAT</w:t>
            </w:r>
          </w:p>
        </w:tc>
      </w:tr>
    </w:tbl>
    <w:p>
      <w:pPr>
        <w:spacing w:lineRule="auto"/>
      </w:pPr>
    </w:p>
    <w:p>
      <w:pPr>
        <w:spacing w:after="210" w:lineRule="auto"/>
      </w:pPr>
      <w:r>
        <w:rPr>
          <w:b/>
        </w:rPr>
        <w:t xml:space="preserve">How It Works</w:t>
      </w:r>
    </w:p>
    <w:p>
      <w:pPr>
        <w:numPr>
          <w:ilvl w:val="0"/>
          <w:numId w:val="138"/>
        </w:numPr>
        <w:spacing w:lineRule="auto"/>
      </w:pPr>
      <w:r>
        <w:rPr/>
        <w:t xml:space="preserve">Your dealers access our platform (embedded in their workflow)</w:t>
      </w:r>
    </w:p>
    <w:p>
      <w:pPr>
        <w:numPr>
          <w:ilvl w:val="0"/>
          <w:numId w:val="138"/>
        </w:numPr>
        <w:spacing w:lineRule="auto"/>
      </w:pPr>
      <w:r>
        <w:rPr/>
        <w:t xml:space="preserve">Borrowers apply once; routed to best-fit lenders (your captive + competitors)</w:t>
      </w:r>
    </w:p>
    <w:p>
      <w:pPr>
        <w:numPr>
          <w:ilvl w:val="0"/>
          <w:numId w:val="138"/>
        </w:numPr>
        <w:spacing w:lineRule="auto"/>
      </w:pPr>
      <w:r>
        <w:rPr/>
        <w:t xml:space="preserve">You gain visibility into approval rates, equipment mix, regional trends</w:t>
      </w:r>
    </w:p>
    <w:p>
      <w:pPr>
        <w:numPr>
          <w:ilvl w:val="0"/>
          <w:numId w:val="138"/>
        </w:numPr>
        <w:spacing w:lineRule="auto"/>
      </w:pPr>
      <w:r>
        <w:rPr/>
        <w:t xml:space="preserve">Incentive programs automated and tracked</w:t>
      </w:r>
    </w:p>
    <w:p>
      <w:pPr>
        <w:spacing w:after="210" w:lineRule="auto"/>
      </w:pPr>
      <w:r>
        <w:rPr>
          <w:b/>
        </w:rPr>
        <w:t xml:space="preserve">Investment</w:t>
      </w:r>
    </w:p>
    <w:p>
      <w:pPr>
        <w:numPr>
          <w:ilvl w:val="0"/>
          <w:numId w:val="139"/>
        </w:numPr>
        <w:spacing w:lineRule="auto"/>
      </w:pPr>
      <w:r>
        <w:rPr/>
        <w:t xml:space="preserve">No cost to your dealers (we handle integration)</w:t>
      </w:r>
    </w:p>
    <w:p>
      <w:pPr>
        <w:numPr>
          <w:ilvl w:val="0"/>
          <w:numId w:val="139"/>
        </w:numPr>
        <w:spacing w:lineRule="auto"/>
      </w:pPr>
      <w:r>
        <w:rPr/>
        <w:t xml:space="preserve">Revenue share on financing volume (optional partnership)</w:t>
      </w:r>
    </w:p>
    <w:p>
      <w:pPr>
        <w:numPr>
          <w:ilvl w:val="0"/>
          <w:numId w:val="139"/>
        </w:numPr>
        <w:spacing w:lineRule="auto"/>
      </w:pPr>
      <w:r>
        <w:rPr/>
        <w:t xml:space="preserve">Co-marketing and analyst visibility</w:t>
      </w:r>
    </w:p>
    <w:p>
      <w:pPr>
        <w:spacing w:after="210" w:lineRule="auto"/>
      </w:pPr>
      <w:r>
        <w:rPr>
          <w:b/>
        </w:rPr>
        <w:t xml:space="preserve">Timeline</w:t>
      </w:r>
    </w:p>
    <w:p>
      <w:pPr>
        <w:numPr>
          <w:ilvl w:val="0"/>
          <w:numId w:val="140"/>
        </w:numPr>
        <w:spacing w:lineRule="auto"/>
      </w:pPr>
      <w:r>
        <w:rPr>
          <w:rFonts w:eastAsia="Georgia" w:cs="Georgia" w:ascii="Georgia" w:hAnsi="Georgia"/>
        </w:rPr>
        <w:t xml:space="preserve">Weeks 1–2: Integration planning</w:t>
      </w:r>
    </w:p>
    <w:p>
      <w:pPr>
        <w:numPr>
          <w:ilvl w:val="0"/>
          <w:numId w:val="140"/>
        </w:numPr>
        <w:spacing w:lineRule="auto"/>
      </w:pPr>
      <w:r>
        <w:rPr>
          <w:rFonts w:eastAsia="Georgia" w:cs="Georgia" w:ascii="Georgia" w:hAnsi="Georgia"/>
        </w:rPr>
        <w:t xml:space="preserve">Weeks 3–8: Technical integration + dealer training</w:t>
      </w:r>
    </w:p>
    <w:p>
      <w:pPr>
        <w:numPr>
          <w:ilvl w:val="0"/>
          <w:numId w:val="140"/>
        </w:numPr>
        <w:spacing w:lineRule="auto"/>
      </w:pPr>
      <w:r>
        <w:rPr/>
        <w:t xml:space="preserve">Week 9: Go-live with subset of dealers</w:t>
      </w:r>
    </w:p>
    <w:p>
      <w:pPr>
        <w:numPr>
          <w:ilvl w:val="0"/>
          <w:numId w:val="140"/>
        </w:numPr>
        <w:spacing w:lineRule="auto"/>
      </w:pPr>
      <w:r>
        <w:rPr/>
        <w:t xml:space="preserve">Month 4: Expand to full network</w:t>
      </w:r>
    </w:p>
    <w:p>
      <w:pPr>
        <w:spacing w:after="210" w:lineRule="auto"/>
      </w:pPr>
      <w:r>
        <w:rPr>
          <w:b/>
        </w:rPr>
        <w:t xml:space="preserve">Next Steps</w:t>
      </w:r>
    </w:p>
    <w:p>
      <w:pPr>
        <w:numPr>
          <w:ilvl w:val="0"/>
          <w:numId w:val="141"/>
        </w:numPr>
        <w:spacing w:lineRule="auto"/>
      </w:pPr>
      <w:r>
        <w:rPr/>
        <w:t xml:space="preserve">Executive steering committee conversation</w:t>
      </w:r>
    </w:p>
    <w:p>
      <w:pPr>
        <w:numPr>
          <w:ilvl w:val="0"/>
          <w:numId w:val="141"/>
        </w:numPr>
        <w:spacing w:lineRule="auto"/>
      </w:pPr>
      <w:r>
        <w:rPr/>
        <w:t xml:space="preserve">Technical POC engagement (your IT, our engineers)</w:t>
      </w:r>
    </w:p>
    <w:p>
      <w:pPr>
        <w:numPr>
          <w:ilvl w:val="0"/>
          <w:numId w:val="141"/>
        </w:numPr>
        <w:spacing w:lineRule="auto"/>
      </w:pPr>
      <w:r>
        <w:rPr>
          <w:rFonts w:eastAsia="Georgia" w:cs="Georgia" w:ascii="Georgia" w:hAnsi="Georgia"/>
        </w:rPr>
        <w:t xml:space="preserve">Pilot rollout (50–100 dealers)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8" w:name="using_this_document"/>
      <w:r>
        <w:rPr>
          <w:b/>
          <w:sz w:val="42"/>
        </w:rPr>
        <w:t xml:space="preserve">USING THIS DOCUMENT</w:t>
      </w:r>
      <w:bookmarkEnd w:id="108"/>
    </w:p>
    <w:p>
      <w:pPr>
        <w:spacing w:after="210" w:lineRule="auto"/>
      </w:pPr>
      <w:r>
        <w:rPr>
          <w:b/>
        </w:rPr>
        <w:t xml:space="preserve">For Fundraising</w:t>
      </w:r>
      <w:r>
        <w:rPr>
          <w:rFonts w:eastAsia="Georgia" w:cs="Georgia" w:ascii="Georgia" w:hAnsi="Georgia"/>
        </w:rPr>
        <w:t xml:space="preserve">: Lead with Investor Brief + Sections 1–11. Use data sources and sensitivity analysis to address investor due diligence.</w:t>
      </w:r>
    </w:p>
    <w:p>
      <w:pPr>
        <w:spacing w:after="210" w:lineRule="auto"/>
      </w:pPr>
      <w:r>
        <w:rPr>
          <w:b/>
        </w:rPr>
        <w:t xml:space="preserve">For Dealer Sales</w:t>
      </w:r>
      <w:r>
        <w:rPr>
          <w:rFonts w:eastAsia="Georgia" w:cs="Georgia" w:ascii="Georgia" w:hAnsi="Georgia"/>
        </w:rPr>
        <w:t xml:space="preserve">: Use Dealer One-Pager + Sections 4–5 (pain points) + Section 11 (ROI). Customize for dealer segment.</w:t>
      </w:r>
    </w:p>
    <w:p>
      <w:pPr>
        <w:spacing w:after="210" w:lineRule="auto"/>
      </w:pPr>
      <w:r>
        <w:rPr>
          <w:b/>
        </w:rPr>
        <w:t xml:space="preserve">For Lender Outreach</w:t>
      </w:r>
      <w:r>
        <w:rPr>
          <w:rFonts w:eastAsia="Georgia" w:cs="Georgia" w:ascii="Georgia" w:hAnsi="Georgia"/>
        </w:rPr>
        <w:t xml:space="preserve">: Use Lender One-Pager + Sections 3–5 (market opportunity) + Section 11 (unit economics). Highlight cost savings and compliance automation.</w:t>
      </w:r>
    </w:p>
    <w:p>
      <w:pPr>
        <w:spacing w:after="210" w:lineRule="auto"/>
      </w:pPr>
      <w:r>
        <w:rPr>
          <w:b/>
        </w:rPr>
        <w:t xml:space="preserve">For OEM Partnerships</w:t>
      </w:r>
      <w:r>
        <w:rPr>
          <w:rFonts w:eastAsia="Georgia" w:cs="Georgia" w:ascii="Georgia" w:hAnsi="Georgia"/>
        </w:rPr>
        <w:t xml:space="preserve">: Use OEM One-Pager + Sections 1–2 (vision) + Section 12 (GTM). Position as network-effect tool for dealer competitive advantage.</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Document Version</w:t>
      </w:r>
      <w:r>
        <w:rPr/>
        <w:t xml:space="preserve">: 2.0 (Enhanced for Multi-Audience, December 2025)</w:t>
      </w:r>
      <w:r>
        <w:rPr/>
        <w:br w:type="textWrapping"/>
      </w:r>
      <w:r>
        <w:rPr>
          <w:b/>
        </w:rPr>
        <w:t xml:space="preserve">Last Updated</w:t>
      </w:r>
      <w:r>
        <w:rPr/>
        <w:t xml:space="preserve">: December 6, 2025</w:t>
      </w:r>
      <w:r>
        <w:rPr/>
        <w:br w:type="textWrapping"/>
      </w:r>
      <w:r>
        <w:rPr>
          <w:b/>
        </w:rPr>
        <w:t xml:space="preserve">Contact</w:t>
      </w:r>
      <w:r>
        <w:rPr/>
        <w:t xml:space="preserve">: [Your Company Contact Information]</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1">
    <w:multiLevelType w:val="hybridMultilevel"/>
    <w:lvl w:ilvl="0">
      <w:start w:val="1"/>
      <w:numFmt w:val="decimal"/>
      <w:lvlText w:val="%1."/>
      <w:lvlJc w:val="left"/>
      <w:pPr>
        <w:tabs>
          <w:tab w:val="num" w:pos="1080"/>
        </w:tabs>
        <w:ind w:left="720" w:hanging="360"/>
      </w:pPr>
    </w:lvl>
  </w:abstractNum>
  <w:abstractNum w:abstractNumId="7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6">
    <w:multiLevelType w:val="hybridMultilevel"/>
    <w:lvl w:ilvl="0">
      <w:start w:val="1"/>
      <w:numFmt w:val="decimal"/>
      <w:lvlText w:val="%1."/>
      <w:lvlJc w:val="left"/>
      <w:pPr>
        <w:tabs>
          <w:tab w:val="num" w:pos="1080"/>
        </w:tabs>
        <w:ind w:left="720" w:hanging="360"/>
      </w:pPr>
    </w:lvl>
  </w:abstractNum>
  <w:abstractNum w:abstractNumId="7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5">
    <w:multiLevelType w:val="hybridMultilevel"/>
    <w:lvl w:ilvl="0">
      <w:start w:val="1"/>
      <w:numFmt w:val="decimal"/>
      <w:lvlText w:val="%1."/>
      <w:lvlJc w:val="left"/>
      <w:pPr>
        <w:tabs>
          <w:tab w:val="num" w:pos="1080"/>
        </w:tabs>
        <w:ind w:left="720" w:hanging="360"/>
      </w:pPr>
    </w:lvl>
  </w:abstractNum>
  <w:abstractNum w:abstractNumId="1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8">
    <w:multiLevelType w:val="hybridMultilevel"/>
    <w:lvl w:ilvl="0">
      <w:start w:val="1"/>
      <w:numFmt w:val="decimal"/>
      <w:lvlText w:val="%1."/>
      <w:lvlJc w:val="left"/>
      <w:pPr>
        <w:tabs>
          <w:tab w:val="num" w:pos="1080"/>
        </w:tabs>
        <w:ind w:left="720" w:hanging="360"/>
      </w:pPr>
    </w:lvl>
  </w:abstractNum>
  <w:abstractNum w:abstractNumId="1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1">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equipment.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2025-12-06T22:21:35.115Z</dcterms:created>
  <dcterms:modified xsi:type="dcterms:W3CDTF">2025-12-06T22:21:35.115Z</dcterms:modified>
</cp:coreProperties>
</file>