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5B545"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Take-Home Project: Event Ledger</w:t>
      </w:r>
    </w:p>
    <w:p w14:paraId="4217E983" w14:textId="77777777" w:rsidR="00DF50C2" w:rsidRPr="00DF50C2" w:rsidRDefault="00DF50C2" w:rsidP="00DF50C2">
      <w:pPr>
        <w:rPr>
          <w:rFonts w:ascii="Calibri" w:hAnsi="Calibri" w:cs="Calibri"/>
          <w:sz w:val="22"/>
          <w:szCs w:val="22"/>
        </w:rPr>
      </w:pPr>
    </w:p>
    <w:p w14:paraId="7905040F"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Overview</w:t>
      </w:r>
    </w:p>
    <w:p w14:paraId="26771E6C" w14:textId="54205FB8" w:rsidR="00DF50C2" w:rsidRPr="00DF50C2" w:rsidRDefault="00DF50C2" w:rsidP="00DF50C2">
      <w:pPr>
        <w:rPr>
          <w:rFonts w:ascii="Calibri" w:hAnsi="Calibri" w:cs="Calibri"/>
          <w:sz w:val="22"/>
          <w:szCs w:val="22"/>
        </w:rPr>
      </w:pPr>
      <w:r w:rsidRPr="00DF50C2">
        <w:rPr>
          <w:rFonts w:ascii="Calibri" w:hAnsi="Calibri" w:cs="Calibri"/>
          <w:sz w:val="22"/>
          <w:szCs w:val="22"/>
        </w:rPr>
        <w:t>Welcome, and thank you for your interest in this role!</w:t>
      </w:r>
    </w:p>
    <w:p w14:paraId="42D6EBC7" w14:textId="77777777" w:rsidR="00DF50C2" w:rsidRPr="00DF50C2" w:rsidRDefault="00DF50C2" w:rsidP="00DF50C2">
      <w:pPr>
        <w:rPr>
          <w:rFonts w:ascii="Calibri" w:hAnsi="Calibri" w:cs="Calibri"/>
          <w:sz w:val="22"/>
          <w:szCs w:val="22"/>
        </w:rPr>
      </w:pPr>
    </w:p>
    <w:p w14:paraId="4A200344"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This take-home project is designed to evaluate your ability to build and operate distributed systems. You'll create two microservices that work together to process financial transaction events, with attention to observability, resiliency, and operational readiness.</w:t>
      </w:r>
    </w:p>
    <w:p w14:paraId="492A169A" w14:textId="77777777" w:rsidR="00DF50C2" w:rsidRPr="00DF50C2" w:rsidRDefault="00DF50C2" w:rsidP="00DF50C2">
      <w:pPr>
        <w:rPr>
          <w:rFonts w:ascii="Calibri" w:hAnsi="Calibri" w:cs="Calibri"/>
          <w:sz w:val="22"/>
          <w:szCs w:val="22"/>
        </w:rPr>
      </w:pPr>
    </w:p>
    <w:p w14:paraId="6EB1F60C"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**You are expected and encouraged to use AI tools** (GitHub Copilot, ChatGPT, Claude, Cursor, or any other tool) to help you work — just as you would on the job. What we're evaluating is the quality of the end result and the engineering decisions you make along the way.</w:t>
      </w:r>
    </w:p>
    <w:p w14:paraId="3C391DF9" w14:textId="77777777" w:rsidR="00DF50C2" w:rsidRPr="00DF50C2" w:rsidRDefault="00DF50C2" w:rsidP="00DF50C2">
      <w:pPr>
        <w:rPr>
          <w:rFonts w:ascii="Calibri" w:hAnsi="Calibri" w:cs="Calibri"/>
          <w:sz w:val="22"/>
          <w:szCs w:val="22"/>
        </w:rPr>
      </w:pPr>
    </w:p>
    <w:p w14:paraId="763FBDC8"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**Time expectation:** 3–4 hours to produce a working solution.</w:t>
      </w:r>
    </w:p>
    <w:p w14:paraId="0660AA2E" w14:textId="77777777" w:rsidR="00DF50C2" w:rsidRPr="00DF50C2" w:rsidRDefault="00DF50C2" w:rsidP="00DF50C2">
      <w:pPr>
        <w:rPr>
          <w:rFonts w:ascii="Calibri" w:hAnsi="Calibri" w:cs="Calibri"/>
          <w:sz w:val="22"/>
          <w:szCs w:val="22"/>
        </w:rPr>
      </w:pPr>
    </w:p>
    <w:p w14:paraId="456D583D"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w:t>
      </w:r>
    </w:p>
    <w:p w14:paraId="0EDEF87A" w14:textId="77777777" w:rsidR="00DF50C2" w:rsidRPr="00DF50C2" w:rsidRDefault="00DF50C2" w:rsidP="00DF50C2">
      <w:pPr>
        <w:rPr>
          <w:rFonts w:ascii="Calibri" w:hAnsi="Calibri" w:cs="Calibri"/>
          <w:sz w:val="22"/>
          <w:szCs w:val="22"/>
        </w:rPr>
      </w:pPr>
    </w:p>
    <w:p w14:paraId="1AEF0B68"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The Problem</w:t>
      </w:r>
    </w:p>
    <w:p w14:paraId="5F955944" w14:textId="77777777" w:rsidR="00DF50C2" w:rsidRPr="00DF50C2" w:rsidRDefault="00DF50C2" w:rsidP="00DF50C2">
      <w:pPr>
        <w:rPr>
          <w:rFonts w:ascii="Calibri" w:hAnsi="Calibri" w:cs="Calibri"/>
          <w:sz w:val="22"/>
          <w:szCs w:val="22"/>
        </w:rPr>
      </w:pPr>
    </w:p>
    <w:p w14:paraId="7F8E604A"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You are building an **Event Ledger** system composed of two microservices. The system receives financial transaction events from multiple upstream systems. These upstream systems are not perfectly synchronized, so:</w:t>
      </w:r>
    </w:p>
    <w:p w14:paraId="1410E7E1" w14:textId="77777777" w:rsidR="00DF50C2" w:rsidRPr="00DF50C2" w:rsidRDefault="00DF50C2" w:rsidP="00DF50C2">
      <w:pPr>
        <w:rPr>
          <w:rFonts w:ascii="Calibri" w:hAnsi="Calibri" w:cs="Calibri"/>
          <w:sz w:val="22"/>
          <w:szCs w:val="22"/>
        </w:rPr>
      </w:pPr>
    </w:p>
    <w:p w14:paraId="679C52EA"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**Events may arrive out of order</w:t>
      </w:r>
      <w:proofErr w:type="gramStart"/>
      <w:r w:rsidRPr="00DF50C2">
        <w:rPr>
          <w:rFonts w:ascii="Calibri" w:hAnsi="Calibri" w:cs="Calibri"/>
          <w:sz w:val="22"/>
          <w:szCs w:val="22"/>
        </w:rPr>
        <w:t>** —</w:t>
      </w:r>
      <w:proofErr w:type="gramEnd"/>
      <w:r w:rsidRPr="00DF50C2">
        <w:rPr>
          <w:rFonts w:ascii="Calibri" w:hAnsi="Calibri" w:cs="Calibri"/>
          <w:sz w:val="22"/>
          <w:szCs w:val="22"/>
        </w:rPr>
        <w:t xml:space="preserve"> an event with an earlier timestamp may arrive after one with a later timestamp.</w:t>
      </w:r>
    </w:p>
    <w:p w14:paraId="7325D357"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**Events may be delivered more than once</w:t>
      </w:r>
      <w:proofErr w:type="gramStart"/>
      <w:r w:rsidRPr="00DF50C2">
        <w:rPr>
          <w:rFonts w:ascii="Calibri" w:hAnsi="Calibri" w:cs="Calibri"/>
          <w:sz w:val="22"/>
          <w:szCs w:val="22"/>
        </w:rPr>
        <w:t>** — the</w:t>
      </w:r>
      <w:proofErr w:type="gramEnd"/>
      <w:r w:rsidRPr="00DF50C2">
        <w:rPr>
          <w:rFonts w:ascii="Calibri" w:hAnsi="Calibri" w:cs="Calibri"/>
          <w:sz w:val="22"/>
          <w:szCs w:val="22"/>
        </w:rPr>
        <w:t xml:space="preserve"> same event could be sent to your API multiple times.</w:t>
      </w:r>
    </w:p>
    <w:p w14:paraId="0D29A5DF" w14:textId="77777777" w:rsidR="00DF50C2" w:rsidRPr="00DF50C2" w:rsidRDefault="00DF50C2" w:rsidP="00DF50C2">
      <w:pPr>
        <w:rPr>
          <w:rFonts w:ascii="Calibri" w:hAnsi="Calibri" w:cs="Calibri"/>
          <w:sz w:val="22"/>
          <w:szCs w:val="22"/>
        </w:rPr>
      </w:pPr>
    </w:p>
    <w:p w14:paraId="11CD19D5"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Your system must handle both of these scenarios correctly, and it must behave gracefully when parts of the system are unavailable.</w:t>
      </w:r>
    </w:p>
    <w:p w14:paraId="0464AE3D" w14:textId="77777777" w:rsidR="00DF50C2" w:rsidRPr="00DF50C2" w:rsidRDefault="00DF50C2" w:rsidP="00DF50C2">
      <w:pPr>
        <w:rPr>
          <w:rFonts w:ascii="Calibri" w:hAnsi="Calibri" w:cs="Calibri"/>
          <w:sz w:val="22"/>
          <w:szCs w:val="22"/>
        </w:rPr>
      </w:pPr>
    </w:p>
    <w:p w14:paraId="257D13EF"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w:t>
      </w:r>
    </w:p>
    <w:p w14:paraId="4A726D06" w14:textId="77777777" w:rsidR="00DF50C2" w:rsidRPr="00DF50C2" w:rsidRDefault="00DF50C2" w:rsidP="00DF50C2">
      <w:pPr>
        <w:rPr>
          <w:rFonts w:ascii="Calibri" w:hAnsi="Calibri" w:cs="Calibri"/>
          <w:sz w:val="22"/>
          <w:szCs w:val="22"/>
        </w:rPr>
      </w:pPr>
    </w:p>
    <w:p w14:paraId="22CD57AC"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Architecture</w:t>
      </w:r>
    </w:p>
    <w:p w14:paraId="3AA928D1" w14:textId="77777777" w:rsidR="00DF50C2" w:rsidRPr="00DF50C2" w:rsidRDefault="00DF50C2" w:rsidP="00DF50C2">
      <w:pPr>
        <w:rPr>
          <w:rFonts w:ascii="Calibri" w:hAnsi="Calibri" w:cs="Calibri"/>
          <w:sz w:val="22"/>
          <w:szCs w:val="22"/>
        </w:rPr>
      </w:pPr>
    </w:p>
    <w:p w14:paraId="068FB0C6"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w:t>
      </w:r>
    </w:p>
    <w:p w14:paraId="517D3D0C"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xml:space="preserve">                          ┌──────────────────────┐</w:t>
      </w:r>
    </w:p>
    <w:p w14:paraId="4C9BDA23"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Browser / Client ──────→  │  Event Gateway API    │</w:t>
      </w:r>
    </w:p>
    <w:p w14:paraId="120C5652"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xml:space="preserve">                          │  (public-facing)      │</w:t>
      </w:r>
    </w:p>
    <w:p w14:paraId="7E5846F3"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xml:space="preserve">                          └──────</w:t>
      </w:r>
      <w:r w:rsidRPr="00DF50C2">
        <w:rPr>
          <w:rFonts w:ascii="MS Gothic" w:eastAsia="MS Gothic" w:hAnsi="MS Gothic" w:cs="MS Gothic" w:hint="eastAsia"/>
          <w:sz w:val="22"/>
          <w:szCs w:val="22"/>
        </w:rPr>
        <w:t>┬</w:t>
      </w:r>
      <w:r w:rsidRPr="00DF50C2">
        <w:rPr>
          <w:rFonts w:ascii="Calibri" w:hAnsi="Calibri" w:cs="Calibri"/>
          <w:sz w:val="22"/>
          <w:szCs w:val="22"/>
        </w:rPr>
        <w:t>───────────────┘</w:t>
      </w:r>
    </w:p>
    <w:p w14:paraId="1BA6DD34"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xml:space="preserve">                                 │ REST (sync)</w:t>
      </w:r>
    </w:p>
    <w:p w14:paraId="6B80D035"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xml:space="preserve">                                 </w:t>
      </w:r>
      <w:r w:rsidRPr="00DF50C2">
        <w:rPr>
          <w:rFonts w:ascii="Arial" w:hAnsi="Arial" w:cs="Arial"/>
          <w:sz w:val="22"/>
          <w:szCs w:val="22"/>
        </w:rPr>
        <w:t>▼</w:t>
      </w:r>
    </w:p>
    <w:p w14:paraId="47C0638F"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xml:space="preserve">                          ┌──────────────────────┐</w:t>
      </w:r>
    </w:p>
    <w:p w14:paraId="3AB84AC7"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xml:space="preserve">                          │  Account Service      │</w:t>
      </w:r>
    </w:p>
    <w:p w14:paraId="4B19885D"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xml:space="preserve">                          │  (internal)           │</w:t>
      </w:r>
    </w:p>
    <w:p w14:paraId="2D9129FC"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xml:space="preserve">                          └──────────────────────┘</w:t>
      </w:r>
    </w:p>
    <w:p w14:paraId="350465FD"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w:t>
      </w:r>
    </w:p>
    <w:p w14:paraId="04C972A8" w14:textId="77777777" w:rsidR="00DF50C2" w:rsidRPr="00DF50C2" w:rsidRDefault="00DF50C2" w:rsidP="00DF50C2">
      <w:pPr>
        <w:rPr>
          <w:rFonts w:ascii="Calibri" w:hAnsi="Calibri" w:cs="Calibri"/>
          <w:sz w:val="22"/>
          <w:szCs w:val="22"/>
        </w:rPr>
      </w:pPr>
    </w:p>
    <w:p w14:paraId="3F403F0B"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Event Gateway API (public-facing)</w:t>
      </w:r>
    </w:p>
    <w:p w14:paraId="1EBF62B0" w14:textId="77777777" w:rsidR="00DF50C2" w:rsidRPr="00DF50C2" w:rsidRDefault="00DF50C2" w:rsidP="00DF50C2">
      <w:pPr>
        <w:rPr>
          <w:rFonts w:ascii="Calibri" w:hAnsi="Calibri" w:cs="Calibri"/>
          <w:sz w:val="22"/>
          <w:szCs w:val="22"/>
        </w:rPr>
      </w:pPr>
    </w:p>
    <w:p w14:paraId="2F39BDAD"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The entry point for all client requests. Receives transaction events, validates input, enforces idempotency, stores event records, and calls the Account Service to apply transactions.</w:t>
      </w:r>
    </w:p>
    <w:p w14:paraId="552E511D" w14:textId="77777777" w:rsidR="00DF50C2" w:rsidRPr="00DF50C2" w:rsidRDefault="00DF50C2" w:rsidP="00DF50C2">
      <w:pPr>
        <w:rPr>
          <w:rFonts w:ascii="Calibri" w:hAnsi="Calibri" w:cs="Calibri"/>
          <w:sz w:val="22"/>
          <w:szCs w:val="22"/>
        </w:rPr>
      </w:pPr>
    </w:p>
    <w:p w14:paraId="6CEAB95F"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Method | Endpoint | Description |</w:t>
      </w:r>
    </w:p>
    <w:p w14:paraId="03D66AAD"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w:t>
      </w:r>
    </w:p>
    <w:p w14:paraId="53C71762"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`POST` | `/events` | Submit a transaction event |</w:t>
      </w:r>
    </w:p>
    <w:p w14:paraId="17D8EEB5"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`GET` | `/events/{id}` | Retrieve a single event by its ID |</w:t>
      </w:r>
    </w:p>
    <w:p w14:paraId="784A6300"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`GET` | `/</w:t>
      </w:r>
      <w:proofErr w:type="spellStart"/>
      <w:r w:rsidRPr="00DF50C2">
        <w:rPr>
          <w:rFonts w:ascii="Calibri" w:hAnsi="Calibri" w:cs="Calibri"/>
          <w:sz w:val="22"/>
          <w:szCs w:val="22"/>
        </w:rPr>
        <w:t>events?account</w:t>
      </w:r>
      <w:proofErr w:type="spellEnd"/>
      <w:r w:rsidRPr="00DF50C2">
        <w:rPr>
          <w:rFonts w:ascii="Calibri" w:hAnsi="Calibri" w:cs="Calibri"/>
          <w:sz w:val="22"/>
          <w:szCs w:val="22"/>
        </w:rPr>
        <w:t>={</w:t>
      </w:r>
      <w:proofErr w:type="spellStart"/>
      <w:r w:rsidRPr="00DF50C2">
        <w:rPr>
          <w:rFonts w:ascii="Calibri" w:hAnsi="Calibri" w:cs="Calibri"/>
          <w:sz w:val="22"/>
          <w:szCs w:val="22"/>
        </w:rPr>
        <w:t>accountId</w:t>
      </w:r>
      <w:proofErr w:type="spellEnd"/>
      <w:r w:rsidRPr="00DF50C2">
        <w:rPr>
          <w:rFonts w:ascii="Calibri" w:hAnsi="Calibri" w:cs="Calibri"/>
          <w:sz w:val="22"/>
          <w:szCs w:val="22"/>
        </w:rPr>
        <w:t>}` | List events for an account, ordered by event timestamp |</w:t>
      </w:r>
    </w:p>
    <w:p w14:paraId="58C5019E"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lastRenderedPageBreak/>
        <w:t>| `GET` | `/health` | Health check |</w:t>
      </w:r>
    </w:p>
    <w:p w14:paraId="18DBE597" w14:textId="77777777" w:rsidR="00DF50C2" w:rsidRPr="00DF50C2" w:rsidRDefault="00DF50C2" w:rsidP="00DF50C2">
      <w:pPr>
        <w:rPr>
          <w:rFonts w:ascii="Calibri" w:hAnsi="Calibri" w:cs="Calibri"/>
          <w:sz w:val="22"/>
          <w:szCs w:val="22"/>
        </w:rPr>
      </w:pPr>
    </w:p>
    <w:p w14:paraId="47038781"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Account Service (internal)</w:t>
      </w:r>
    </w:p>
    <w:p w14:paraId="6D723BCC" w14:textId="77777777" w:rsidR="00DF50C2" w:rsidRPr="00DF50C2" w:rsidRDefault="00DF50C2" w:rsidP="00DF50C2">
      <w:pPr>
        <w:rPr>
          <w:rFonts w:ascii="Calibri" w:hAnsi="Calibri" w:cs="Calibri"/>
          <w:sz w:val="22"/>
          <w:szCs w:val="22"/>
        </w:rPr>
      </w:pPr>
    </w:p>
    <w:p w14:paraId="526CFC71"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Manages account state — balances, transaction history, and account-level queries. Only called by the Gateway, not exposed to external clients.</w:t>
      </w:r>
    </w:p>
    <w:p w14:paraId="3A1D5424" w14:textId="77777777" w:rsidR="00DF50C2" w:rsidRPr="00DF50C2" w:rsidRDefault="00DF50C2" w:rsidP="00DF50C2">
      <w:pPr>
        <w:rPr>
          <w:rFonts w:ascii="Calibri" w:hAnsi="Calibri" w:cs="Calibri"/>
          <w:sz w:val="22"/>
          <w:szCs w:val="22"/>
        </w:rPr>
      </w:pPr>
    </w:p>
    <w:p w14:paraId="1231C1CC"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Method | Endpoint | Description |</w:t>
      </w:r>
    </w:p>
    <w:p w14:paraId="19E464FC"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w:t>
      </w:r>
    </w:p>
    <w:p w14:paraId="6A02E206"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`POST` | `/</w:t>
      </w:r>
      <w:proofErr w:type="gramStart"/>
      <w:r w:rsidRPr="00DF50C2">
        <w:rPr>
          <w:rFonts w:ascii="Calibri" w:hAnsi="Calibri" w:cs="Calibri"/>
          <w:sz w:val="22"/>
          <w:szCs w:val="22"/>
        </w:rPr>
        <w:t>accounts/{</w:t>
      </w:r>
      <w:proofErr w:type="spellStart"/>
      <w:r w:rsidRPr="00DF50C2">
        <w:rPr>
          <w:rFonts w:ascii="Calibri" w:hAnsi="Calibri" w:cs="Calibri"/>
          <w:sz w:val="22"/>
          <w:szCs w:val="22"/>
        </w:rPr>
        <w:t>accountId</w:t>
      </w:r>
      <w:proofErr w:type="spellEnd"/>
      <w:r w:rsidRPr="00DF50C2">
        <w:rPr>
          <w:rFonts w:ascii="Calibri" w:hAnsi="Calibri" w:cs="Calibri"/>
          <w:sz w:val="22"/>
          <w:szCs w:val="22"/>
        </w:rPr>
        <w:t>}/</w:t>
      </w:r>
      <w:proofErr w:type="gramEnd"/>
      <w:r w:rsidRPr="00DF50C2">
        <w:rPr>
          <w:rFonts w:ascii="Calibri" w:hAnsi="Calibri" w:cs="Calibri"/>
          <w:sz w:val="22"/>
          <w:szCs w:val="22"/>
        </w:rPr>
        <w:t>transactions` | Apply a transaction to an account |</w:t>
      </w:r>
    </w:p>
    <w:p w14:paraId="0BA5EF27"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`GET` | `/accounts/{</w:t>
      </w:r>
      <w:proofErr w:type="spellStart"/>
      <w:r w:rsidRPr="00DF50C2">
        <w:rPr>
          <w:rFonts w:ascii="Calibri" w:hAnsi="Calibri" w:cs="Calibri"/>
          <w:sz w:val="22"/>
          <w:szCs w:val="22"/>
        </w:rPr>
        <w:t>accountId</w:t>
      </w:r>
      <w:proofErr w:type="spellEnd"/>
      <w:r w:rsidRPr="00DF50C2">
        <w:rPr>
          <w:rFonts w:ascii="Calibri" w:hAnsi="Calibri" w:cs="Calibri"/>
          <w:sz w:val="22"/>
          <w:szCs w:val="22"/>
        </w:rPr>
        <w:t>}/balance` | Get the current balance for an account |</w:t>
      </w:r>
    </w:p>
    <w:p w14:paraId="77D45F04"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`GET` | `/</w:t>
      </w:r>
      <w:proofErr w:type="gramStart"/>
      <w:r w:rsidRPr="00DF50C2">
        <w:rPr>
          <w:rFonts w:ascii="Calibri" w:hAnsi="Calibri" w:cs="Calibri"/>
          <w:sz w:val="22"/>
          <w:szCs w:val="22"/>
        </w:rPr>
        <w:t>accounts/{</w:t>
      </w:r>
      <w:proofErr w:type="spellStart"/>
      <w:proofErr w:type="gramEnd"/>
      <w:r w:rsidRPr="00DF50C2">
        <w:rPr>
          <w:rFonts w:ascii="Calibri" w:hAnsi="Calibri" w:cs="Calibri"/>
          <w:sz w:val="22"/>
          <w:szCs w:val="22"/>
        </w:rPr>
        <w:t>accountId</w:t>
      </w:r>
      <w:proofErr w:type="spellEnd"/>
      <w:r w:rsidRPr="00DF50C2">
        <w:rPr>
          <w:rFonts w:ascii="Calibri" w:hAnsi="Calibri" w:cs="Calibri"/>
          <w:sz w:val="22"/>
          <w:szCs w:val="22"/>
        </w:rPr>
        <w:t>}` | Get account details and recent transactions |</w:t>
      </w:r>
    </w:p>
    <w:p w14:paraId="294E10F8"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`GET` | `/health` | Health check |</w:t>
      </w:r>
    </w:p>
    <w:p w14:paraId="32EDBEF4" w14:textId="77777777" w:rsidR="00DF50C2" w:rsidRPr="00DF50C2" w:rsidRDefault="00DF50C2" w:rsidP="00DF50C2">
      <w:pPr>
        <w:rPr>
          <w:rFonts w:ascii="Calibri" w:hAnsi="Calibri" w:cs="Calibri"/>
          <w:sz w:val="22"/>
          <w:szCs w:val="22"/>
        </w:rPr>
      </w:pPr>
    </w:p>
    <w:p w14:paraId="65C36DB5"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w:t>
      </w:r>
    </w:p>
    <w:p w14:paraId="15549525" w14:textId="77777777" w:rsidR="00DF50C2" w:rsidRPr="00DF50C2" w:rsidRDefault="00DF50C2" w:rsidP="00DF50C2">
      <w:pPr>
        <w:rPr>
          <w:rFonts w:ascii="Calibri" w:hAnsi="Calibri" w:cs="Calibri"/>
          <w:sz w:val="22"/>
          <w:szCs w:val="22"/>
        </w:rPr>
      </w:pPr>
    </w:p>
    <w:p w14:paraId="68EA5E7E"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Event Payload</w:t>
      </w:r>
    </w:p>
    <w:p w14:paraId="0237EE81" w14:textId="77777777" w:rsidR="00DF50C2" w:rsidRPr="00DF50C2" w:rsidRDefault="00DF50C2" w:rsidP="00DF50C2">
      <w:pPr>
        <w:rPr>
          <w:rFonts w:ascii="Calibri" w:hAnsi="Calibri" w:cs="Calibri"/>
          <w:sz w:val="22"/>
          <w:szCs w:val="22"/>
        </w:rPr>
      </w:pPr>
    </w:p>
    <w:p w14:paraId="36C57F77"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Submitted to `POST /events` on the Gateway:</w:t>
      </w:r>
    </w:p>
    <w:p w14:paraId="51B7BF57" w14:textId="77777777" w:rsidR="00DF50C2" w:rsidRPr="00DF50C2" w:rsidRDefault="00DF50C2" w:rsidP="00DF50C2">
      <w:pPr>
        <w:rPr>
          <w:rFonts w:ascii="Calibri" w:hAnsi="Calibri" w:cs="Calibri"/>
          <w:sz w:val="22"/>
          <w:szCs w:val="22"/>
        </w:rPr>
      </w:pPr>
    </w:p>
    <w:p w14:paraId="1134458C"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w:t>
      </w:r>
      <w:proofErr w:type="spellStart"/>
      <w:r w:rsidRPr="00DF50C2">
        <w:rPr>
          <w:rFonts w:ascii="Calibri" w:hAnsi="Calibri" w:cs="Calibri"/>
          <w:sz w:val="22"/>
          <w:szCs w:val="22"/>
        </w:rPr>
        <w:t>json</w:t>
      </w:r>
      <w:proofErr w:type="spellEnd"/>
    </w:p>
    <w:p w14:paraId="1D5CD6A4"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w:t>
      </w:r>
    </w:p>
    <w:p w14:paraId="0DA30FB2"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xml:space="preserve">  "</w:t>
      </w:r>
      <w:proofErr w:type="spellStart"/>
      <w:r w:rsidRPr="00DF50C2">
        <w:rPr>
          <w:rFonts w:ascii="Calibri" w:hAnsi="Calibri" w:cs="Calibri"/>
          <w:sz w:val="22"/>
          <w:szCs w:val="22"/>
        </w:rPr>
        <w:t>eventId</w:t>
      </w:r>
      <w:proofErr w:type="spellEnd"/>
      <w:r w:rsidRPr="00DF50C2">
        <w:rPr>
          <w:rFonts w:ascii="Calibri" w:hAnsi="Calibri" w:cs="Calibri"/>
          <w:sz w:val="22"/>
          <w:szCs w:val="22"/>
        </w:rPr>
        <w:t>": "evt-001",</w:t>
      </w:r>
    </w:p>
    <w:p w14:paraId="439DE965"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xml:space="preserve">  "</w:t>
      </w:r>
      <w:proofErr w:type="spellStart"/>
      <w:r w:rsidRPr="00DF50C2">
        <w:rPr>
          <w:rFonts w:ascii="Calibri" w:hAnsi="Calibri" w:cs="Calibri"/>
          <w:sz w:val="22"/>
          <w:szCs w:val="22"/>
        </w:rPr>
        <w:t>accountId</w:t>
      </w:r>
      <w:proofErr w:type="spellEnd"/>
      <w:r w:rsidRPr="00DF50C2">
        <w:rPr>
          <w:rFonts w:ascii="Calibri" w:hAnsi="Calibri" w:cs="Calibri"/>
          <w:sz w:val="22"/>
          <w:szCs w:val="22"/>
        </w:rPr>
        <w:t>": "acct-123",</w:t>
      </w:r>
    </w:p>
    <w:p w14:paraId="1C0F9758"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xml:space="preserve">  "type": "CREDIT",</w:t>
      </w:r>
    </w:p>
    <w:p w14:paraId="1D2DC1AB"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xml:space="preserve">  "amount": 150.00,</w:t>
      </w:r>
    </w:p>
    <w:p w14:paraId="7F6B8785"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xml:space="preserve">  "currency": "USD",</w:t>
      </w:r>
    </w:p>
    <w:p w14:paraId="5B3B07AE"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xml:space="preserve">  "</w:t>
      </w:r>
      <w:proofErr w:type="spellStart"/>
      <w:r w:rsidRPr="00DF50C2">
        <w:rPr>
          <w:rFonts w:ascii="Calibri" w:hAnsi="Calibri" w:cs="Calibri"/>
          <w:sz w:val="22"/>
          <w:szCs w:val="22"/>
        </w:rPr>
        <w:t>eventTimestamp</w:t>
      </w:r>
      <w:proofErr w:type="spellEnd"/>
      <w:r w:rsidRPr="00DF50C2">
        <w:rPr>
          <w:rFonts w:ascii="Calibri" w:hAnsi="Calibri" w:cs="Calibri"/>
          <w:sz w:val="22"/>
          <w:szCs w:val="22"/>
        </w:rPr>
        <w:t>": "2026-05-15T14:02:11Z",</w:t>
      </w:r>
    </w:p>
    <w:p w14:paraId="02A27C8D"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lastRenderedPageBreak/>
        <w:t xml:space="preserve">  "metadata</w:t>
      </w:r>
      <w:proofErr w:type="gramStart"/>
      <w:r w:rsidRPr="00DF50C2">
        <w:rPr>
          <w:rFonts w:ascii="Calibri" w:hAnsi="Calibri" w:cs="Calibri"/>
          <w:sz w:val="22"/>
          <w:szCs w:val="22"/>
        </w:rPr>
        <w:t>": {</w:t>
      </w:r>
      <w:proofErr w:type="gramEnd"/>
    </w:p>
    <w:p w14:paraId="2E90D4A3"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xml:space="preserve">    "source": "mainframe-batch",</w:t>
      </w:r>
    </w:p>
    <w:p w14:paraId="053A3987"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xml:space="preserve">    "</w:t>
      </w:r>
      <w:proofErr w:type="spellStart"/>
      <w:r w:rsidRPr="00DF50C2">
        <w:rPr>
          <w:rFonts w:ascii="Calibri" w:hAnsi="Calibri" w:cs="Calibri"/>
          <w:sz w:val="22"/>
          <w:szCs w:val="22"/>
        </w:rPr>
        <w:t>batchId</w:t>
      </w:r>
      <w:proofErr w:type="spellEnd"/>
      <w:r w:rsidRPr="00DF50C2">
        <w:rPr>
          <w:rFonts w:ascii="Calibri" w:hAnsi="Calibri" w:cs="Calibri"/>
          <w:sz w:val="22"/>
          <w:szCs w:val="22"/>
        </w:rPr>
        <w:t>": "B-9042"</w:t>
      </w:r>
    </w:p>
    <w:p w14:paraId="25BD9F06"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xml:space="preserve">  }</w:t>
      </w:r>
    </w:p>
    <w:p w14:paraId="768A7EBF"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w:t>
      </w:r>
    </w:p>
    <w:p w14:paraId="3A2D4FDC"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w:t>
      </w:r>
    </w:p>
    <w:p w14:paraId="775D891B" w14:textId="77777777" w:rsidR="00DF50C2" w:rsidRPr="00DF50C2" w:rsidRDefault="00DF50C2" w:rsidP="00DF50C2">
      <w:pPr>
        <w:rPr>
          <w:rFonts w:ascii="Calibri" w:hAnsi="Calibri" w:cs="Calibri"/>
          <w:sz w:val="22"/>
          <w:szCs w:val="22"/>
        </w:rPr>
      </w:pPr>
    </w:p>
    <w:p w14:paraId="5A61B702"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Field | Type | Required | Notes |</w:t>
      </w:r>
    </w:p>
    <w:p w14:paraId="71B6BEA3"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w:t>
      </w:r>
    </w:p>
    <w:p w14:paraId="0ABC572C"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w:t>
      </w:r>
      <w:proofErr w:type="spellStart"/>
      <w:r w:rsidRPr="00DF50C2">
        <w:rPr>
          <w:rFonts w:ascii="Calibri" w:hAnsi="Calibri" w:cs="Calibri"/>
          <w:sz w:val="22"/>
          <w:szCs w:val="22"/>
        </w:rPr>
        <w:t>eventId</w:t>
      </w:r>
      <w:proofErr w:type="spellEnd"/>
      <w:r w:rsidRPr="00DF50C2">
        <w:rPr>
          <w:rFonts w:ascii="Calibri" w:hAnsi="Calibri" w:cs="Calibri"/>
          <w:sz w:val="22"/>
          <w:szCs w:val="22"/>
        </w:rPr>
        <w:t>` | string | Yes | Unique identifier for the event |</w:t>
      </w:r>
    </w:p>
    <w:p w14:paraId="7668F24C"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w:t>
      </w:r>
      <w:proofErr w:type="spellStart"/>
      <w:r w:rsidRPr="00DF50C2">
        <w:rPr>
          <w:rFonts w:ascii="Calibri" w:hAnsi="Calibri" w:cs="Calibri"/>
          <w:sz w:val="22"/>
          <w:szCs w:val="22"/>
        </w:rPr>
        <w:t>accountId</w:t>
      </w:r>
      <w:proofErr w:type="spellEnd"/>
      <w:r w:rsidRPr="00DF50C2">
        <w:rPr>
          <w:rFonts w:ascii="Calibri" w:hAnsi="Calibri" w:cs="Calibri"/>
          <w:sz w:val="22"/>
          <w:szCs w:val="22"/>
        </w:rPr>
        <w:t>` | string | Yes | The account this event belongs to |</w:t>
      </w:r>
    </w:p>
    <w:p w14:paraId="33243A1B"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`type` | string | Yes | Must be `"CREDIT"` or `"DEBIT"` |</w:t>
      </w:r>
    </w:p>
    <w:p w14:paraId="0FD5F840"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`amount` | number | Yes | Must be greater than 0 |</w:t>
      </w:r>
    </w:p>
    <w:p w14:paraId="1EA16BF2"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`currency` | string | Yes | e.g., `"USD"` |</w:t>
      </w:r>
    </w:p>
    <w:p w14:paraId="31B6DB56"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w:t>
      </w:r>
      <w:proofErr w:type="spellStart"/>
      <w:r w:rsidRPr="00DF50C2">
        <w:rPr>
          <w:rFonts w:ascii="Calibri" w:hAnsi="Calibri" w:cs="Calibri"/>
          <w:sz w:val="22"/>
          <w:szCs w:val="22"/>
        </w:rPr>
        <w:t>eventTimestamp</w:t>
      </w:r>
      <w:proofErr w:type="spellEnd"/>
      <w:r w:rsidRPr="00DF50C2">
        <w:rPr>
          <w:rFonts w:ascii="Calibri" w:hAnsi="Calibri" w:cs="Calibri"/>
          <w:sz w:val="22"/>
          <w:szCs w:val="22"/>
        </w:rPr>
        <w:t>` | string (ISO 8601) | Yes | When the event originally occurred |</w:t>
      </w:r>
    </w:p>
    <w:p w14:paraId="4F094377"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`metadata` | object | No | Optional additional context |</w:t>
      </w:r>
    </w:p>
    <w:p w14:paraId="316E022D" w14:textId="77777777" w:rsidR="00DF50C2" w:rsidRPr="00DF50C2" w:rsidRDefault="00DF50C2" w:rsidP="00DF50C2">
      <w:pPr>
        <w:rPr>
          <w:rFonts w:ascii="Calibri" w:hAnsi="Calibri" w:cs="Calibri"/>
          <w:sz w:val="22"/>
          <w:szCs w:val="22"/>
        </w:rPr>
      </w:pPr>
    </w:p>
    <w:p w14:paraId="645638EF"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w:t>
      </w:r>
    </w:p>
    <w:p w14:paraId="5AD318B1" w14:textId="77777777" w:rsidR="00DF50C2" w:rsidRPr="00DF50C2" w:rsidRDefault="00DF50C2" w:rsidP="00DF50C2">
      <w:pPr>
        <w:rPr>
          <w:rFonts w:ascii="Calibri" w:hAnsi="Calibri" w:cs="Calibri"/>
          <w:sz w:val="22"/>
          <w:szCs w:val="22"/>
        </w:rPr>
      </w:pPr>
    </w:p>
    <w:p w14:paraId="6F671F68"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Requirements</w:t>
      </w:r>
    </w:p>
    <w:p w14:paraId="622CC234" w14:textId="77777777" w:rsidR="00DF50C2" w:rsidRPr="00DF50C2" w:rsidRDefault="00DF50C2" w:rsidP="00DF50C2">
      <w:pPr>
        <w:rPr>
          <w:rFonts w:ascii="Calibri" w:hAnsi="Calibri" w:cs="Calibri"/>
          <w:sz w:val="22"/>
          <w:szCs w:val="22"/>
        </w:rPr>
      </w:pPr>
    </w:p>
    <w:p w14:paraId="6A23349B"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1. Core Functionality</w:t>
      </w:r>
    </w:p>
    <w:p w14:paraId="63A617D7" w14:textId="77777777" w:rsidR="00DF50C2" w:rsidRPr="00DF50C2" w:rsidRDefault="00DF50C2" w:rsidP="00DF50C2">
      <w:pPr>
        <w:rPr>
          <w:rFonts w:ascii="Calibri" w:hAnsi="Calibri" w:cs="Calibri"/>
          <w:sz w:val="22"/>
          <w:szCs w:val="22"/>
        </w:rPr>
      </w:pPr>
    </w:p>
    <w:p w14:paraId="75ED84C5"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**Idempotency**: Submitting the same `</w:t>
      </w:r>
      <w:proofErr w:type="spellStart"/>
      <w:r w:rsidRPr="00DF50C2">
        <w:rPr>
          <w:rFonts w:ascii="Calibri" w:hAnsi="Calibri" w:cs="Calibri"/>
          <w:sz w:val="22"/>
          <w:szCs w:val="22"/>
        </w:rPr>
        <w:t>eventId</w:t>
      </w:r>
      <w:proofErr w:type="spellEnd"/>
      <w:r w:rsidRPr="00DF50C2">
        <w:rPr>
          <w:rFonts w:ascii="Calibri" w:hAnsi="Calibri" w:cs="Calibri"/>
          <w:sz w:val="22"/>
          <w:szCs w:val="22"/>
        </w:rPr>
        <w:t>` more than once must not create a duplicate event or alter the account balance. On a duplicate submission, return the original event with an appropriate status code.</w:t>
      </w:r>
    </w:p>
    <w:p w14:paraId="340B6876" w14:textId="77777777" w:rsidR="00DF50C2" w:rsidRPr="00DF50C2" w:rsidRDefault="00DF50C2" w:rsidP="00DF50C2">
      <w:pPr>
        <w:rPr>
          <w:rFonts w:ascii="Calibri" w:hAnsi="Calibri" w:cs="Calibri"/>
          <w:sz w:val="22"/>
          <w:szCs w:val="22"/>
        </w:rPr>
      </w:pPr>
      <w:proofErr w:type="gramStart"/>
      <w:r w:rsidRPr="00DF50C2">
        <w:rPr>
          <w:rFonts w:ascii="Calibri" w:hAnsi="Calibri" w:cs="Calibri"/>
          <w:sz w:val="22"/>
          <w:szCs w:val="22"/>
        </w:rPr>
        <w:t>- **</w:t>
      </w:r>
      <w:proofErr w:type="gramEnd"/>
      <w:r w:rsidRPr="00DF50C2">
        <w:rPr>
          <w:rFonts w:ascii="Calibri" w:hAnsi="Calibri" w:cs="Calibri"/>
          <w:sz w:val="22"/>
          <w:szCs w:val="22"/>
        </w:rPr>
        <w:t>Out-of-order tolerance**: Events may arrive out of chronological order. Event listings must be in chronological order by `</w:t>
      </w:r>
      <w:proofErr w:type="spellStart"/>
      <w:r w:rsidRPr="00DF50C2">
        <w:rPr>
          <w:rFonts w:ascii="Calibri" w:hAnsi="Calibri" w:cs="Calibri"/>
          <w:sz w:val="22"/>
          <w:szCs w:val="22"/>
        </w:rPr>
        <w:t>eventTimestamp</w:t>
      </w:r>
      <w:proofErr w:type="spellEnd"/>
      <w:r w:rsidRPr="00DF50C2">
        <w:rPr>
          <w:rFonts w:ascii="Calibri" w:hAnsi="Calibri" w:cs="Calibri"/>
          <w:sz w:val="22"/>
          <w:szCs w:val="22"/>
        </w:rPr>
        <w:t>`. Balances must always be correct regardless of arrival order.</w:t>
      </w:r>
    </w:p>
    <w:p w14:paraId="34B34A1D"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lastRenderedPageBreak/>
        <w:t>- **Balance computation**: Net balance = sum of CREDITs − sum of DEBITs.</w:t>
      </w:r>
    </w:p>
    <w:p w14:paraId="5D2F0CCE"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**Validation**: Reject events with missing required fields, negative/zero amounts, or unknown event types. Return meaningful error messages with appropriate HTTP status codes.</w:t>
      </w:r>
    </w:p>
    <w:p w14:paraId="710B259B" w14:textId="77777777" w:rsidR="00DF50C2" w:rsidRPr="00DF50C2" w:rsidRDefault="00DF50C2" w:rsidP="00DF50C2">
      <w:pPr>
        <w:rPr>
          <w:rFonts w:ascii="Calibri" w:hAnsi="Calibri" w:cs="Calibri"/>
          <w:sz w:val="22"/>
          <w:szCs w:val="22"/>
        </w:rPr>
      </w:pPr>
    </w:p>
    <w:p w14:paraId="53AEA54A"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2. Service Separation</w:t>
      </w:r>
    </w:p>
    <w:p w14:paraId="6E07FCFE" w14:textId="77777777" w:rsidR="00DF50C2" w:rsidRPr="00DF50C2" w:rsidRDefault="00DF50C2" w:rsidP="00DF50C2">
      <w:pPr>
        <w:rPr>
          <w:rFonts w:ascii="Calibri" w:hAnsi="Calibri" w:cs="Calibri"/>
          <w:sz w:val="22"/>
          <w:szCs w:val="22"/>
        </w:rPr>
      </w:pPr>
    </w:p>
    <w:p w14:paraId="438198CE"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The Event Gateway and Account Service must be **independently runnable processes**, each with its own embedded/in-memory database.</w:t>
      </w:r>
    </w:p>
    <w:p w14:paraId="5DCFEC54"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They must not share a database or in-process state.</w:t>
      </w:r>
    </w:p>
    <w:p w14:paraId="0CAA3606"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Define clear API contracts between the services.</w:t>
      </w:r>
    </w:p>
    <w:p w14:paraId="78E7400B" w14:textId="77777777" w:rsidR="00DF50C2" w:rsidRPr="00DF50C2" w:rsidRDefault="00DF50C2" w:rsidP="00DF50C2">
      <w:pPr>
        <w:rPr>
          <w:rFonts w:ascii="Calibri" w:hAnsi="Calibri" w:cs="Calibri"/>
          <w:sz w:val="22"/>
          <w:szCs w:val="22"/>
        </w:rPr>
      </w:pPr>
    </w:p>
    <w:p w14:paraId="5A90EB38"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3. Distributed Tracing</w:t>
      </w:r>
    </w:p>
    <w:p w14:paraId="049C9B8A" w14:textId="77777777" w:rsidR="00DF50C2" w:rsidRPr="00DF50C2" w:rsidRDefault="00DF50C2" w:rsidP="00DF50C2">
      <w:pPr>
        <w:rPr>
          <w:rFonts w:ascii="Calibri" w:hAnsi="Calibri" w:cs="Calibri"/>
          <w:sz w:val="22"/>
          <w:szCs w:val="22"/>
        </w:rPr>
      </w:pPr>
    </w:p>
    <w:p w14:paraId="0707A898"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Implement trace propagation across the Gateway → Account Service call. OpenTelemetry is preferred but not required. At minimum:</w:t>
      </w:r>
    </w:p>
    <w:p w14:paraId="4BDB902E" w14:textId="77777777" w:rsidR="00DF50C2" w:rsidRPr="00DF50C2" w:rsidRDefault="00DF50C2" w:rsidP="00DF50C2">
      <w:pPr>
        <w:rPr>
          <w:rFonts w:ascii="Calibri" w:hAnsi="Calibri" w:cs="Calibri"/>
          <w:sz w:val="22"/>
          <w:szCs w:val="22"/>
        </w:rPr>
      </w:pPr>
    </w:p>
    <w:p w14:paraId="4137210F"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Generate a **trace ID** at the Gateway for each incoming request.</w:t>
      </w:r>
    </w:p>
    <w:p w14:paraId="7AFC08F3"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**Propagate** the trace ID to the Account Service via HTTP headers.</w:t>
      </w:r>
    </w:p>
    <w:p w14:paraId="31F03D93"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Both services must **log the trace ID** in their structured log output.</w:t>
      </w:r>
    </w:p>
    <w:p w14:paraId="68770E6F"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A single client request should produce a traceable path across both services.</w:t>
      </w:r>
    </w:p>
    <w:p w14:paraId="3A71B6F4" w14:textId="77777777" w:rsidR="00DF50C2" w:rsidRPr="00DF50C2" w:rsidRDefault="00DF50C2" w:rsidP="00DF50C2">
      <w:pPr>
        <w:rPr>
          <w:rFonts w:ascii="Calibri" w:hAnsi="Calibri" w:cs="Calibri"/>
          <w:sz w:val="22"/>
          <w:szCs w:val="22"/>
        </w:rPr>
      </w:pPr>
    </w:p>
    <w:p w14:paraId="3784876E"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4. Observability</w:t>
      </w:r>
    </w:p>
    <w:p w14:paraId="724C6A2A" w14:textId="77777777" w:rsidR="00DF50C2" w:rsidRPr="00DF50C2" w:rsidRDefault="00DF50C2" w:rsidP="00DF50C2">
      <w:pPr>
        <w:rPr>
          <w:rFonts w:ascii="Calibri" w:hAnsi="Calibri" w:cs="Calibri"/>
          <w:sz w:val="22"/>
          <w:szCs w:val="22"/>
        </w:rPr>
      </w:pPr>
    </w:p>
    <w:p w14:paraId="7891B9FA"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**Structured logging**: JSON-formatted logs with trace ID, timestamp, log level, and service name.</w:t>
      </w:r>
    </w:p>
    <w:p w14:paraId="09989B3E"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**Health check endpoints**: `GET /health` on both services, returning service status and basic diagnostics (e.g., database connectivity).</w:t>
      </w:r>
    </w:p>
    <w:p w14:paraId="3E8850E5"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**At least one custom metric**: For example, request count by endpoint, error rate, or latency histogram. Expose via logs, an endpoint, or an observability library.</w:t>
      </w:r>
    </w:p>
    <w:p w14:paraId="0E9443F3" w14:textId="77777777" w:rsidR="00DF50C2" w:rsidRPr="00DF50C2" w:rsidRDefault="00DF50C2" w:rsidP="00DF50C2">
      <w:pPr>
        <w:rPr>
          <w:rFonts w:ascii="Calibri" w:hAnsi="Calibri" w:cs="Calibri"/>
          <w:sz w:val="22"/>
          <w:szCs w:val="22"/>
        </w:rPr>
      </w:pPr>
    </w:p>
    <w:p w14:paraId="68FF8430"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lastRenderedPageBreak/>
        <w:t>### 5. Resiliency</w:t>
      </w:r>
    </w:p>
    <w:p w14:paraId="2D7F0725" w14:textId="77777777" w:rsidR="00DF50C2" w:rsidRPr="00DF50C2" w:rsidRDefault="00DF50C2" w:rsidP="00DF50C2">
      <w:pPr>
        <w:rPr>
          <w:rFonts w:ascii="Calibri" w:hAnsi="Calibri" w:cs="Calibri"/>
          <w:sz w:val="22"/>
          <w:szCs w:val="22"/>
        </w:rPr>
      </w:pPr>
    </w:p>
    <w:p w14:paraId="7D41EAE2"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The Gateway must implement **at least one** resiliency pattern on its call to the Account Service:</w:t>
      </w:r>
    </w:p>
    <w:p w14:paraId="64DCD523" w14:textId="77777777" w:rsidR="00DF50C2" w:rsidRPr="00DF50C2" w:rsidRDefault="00DF50C2" w:rsidP="00DF50C2">
      <w:pPr>
        <w:rPr>
          <w:rFonts w:ascii="Calibri" w:hAnsi="Calibri" w:cs="Calibri"/>
          <w:sz w:val="22"/>
          <w:szCs w:val="22"/>
        </w:rPr>
      </w:pPr>
    </w:p>
    <w:p w14:paraId="06E99548"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Pattern | Description |</w:t>
      </w:r>
    </w:p>
    <w:p w14:paraId="4A109E68"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w:t>
      </w:r>
    </w:p>
    <w:p w14:paraId="7A99DEE8"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**Circuit breaker** | If the Account Service is repeatedly failing, stop calling it temporarily and return a meaningful error to the client |</w:t>
      </w:r>
    </w:p>
    <w:p w14:paraId="7C097665"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**Bulkhead** | Isolate the Account Service call so its failures don't exhaust the Gateway's thread pool or resources |</w:t>
      </w:r>
    </w:p>
    <w:p w14:paraId="120FF429"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**Timeout + retry with backoff** | Handle slow responses gracefully; don't retry indefinitely |</w:t>
      </w:r>
    </w:p>
    <w:p w14:paraId="091678ED" w14:textId="77777777" w:rsidR="00DF50C2" w:rsidRPr="00DF50C2" w:rsidRDefault="00DF50C2" w:rsidP="00DF50C2">
      <w:pPr>
        <w:rPr>
          <w:rFonts w:ascii="Calibri" w:hAnsi="Calibri" w:cs="Calibri"/>
          <w:sz w:val="22"/>
          <w:szCs w:val="22"/>
        </w:rPr>
      </w:pPr>
    </w:p>
    <w:p w14:paraId="3E29E022"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Implement at least one. Be prepared to explain your choice.</w:t>
      </w:r>
    </w:p>
    <w:p w14:paraId="67884F7E" w14:textId="77777777" w:rsidR="00DF50C2" w:rsidRPr="00DF50C2" w:rsidRDefault="00DF50C2" w:rsidP="00DF50C2">
      <w:pPr>
        <w:rPr>
          <w:rFonts w:ascii="Calibri" w:hAnsi="Calibri" w:cs="Calibri"/>
          <w:sz w:val="22"/>
          <w:szCs w:val="22"/>
        </w:rPr>
      </w:pPr>
    </w:p>
    <w:p w14:paraId="735E7820"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6. Graceful Degradation</w:t>
      </w:r>
    </w:p>
    <w:p w14:paraId="0A335E49" w14:textId="77777777" w:rsidR="00DF50C2" w:rsidRPr="00DF50C2" w:rsidRDefault="00DF50C2" w:rsidP="00DF50C2">
      <w:pPr>
        <w:rPr>
          <w:rFonts w:ascii="Calibri" w:hAnsi="Calibri" w:cs="Calibri"/>
          <w:sz w:val="22"/>
          <w:szCs w:val="22"/>
        </w:rPr>
      </w:pPr>
    </w:p>
    <w:p w14:paraId="6FB4D754"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When the Account Service is unavailable:</w:t>
      </w:r>
    </w:p>
    <w:p w14:paraId="07B5B64B" w14:textId="77777777" w:rsidR="00DF50C2" w:rsidRPr="00DF50C2" w:rsidRDefault="00DF50C2" w:rsidP="00DF50C2">
      <w:pPr>
        <w:rPr>
          <w:rFonts w:ascii="Calibri" w:hAnsi="Calibri" w:cs="Calibri"/>
          <w:sz w:val="22"/>
          <w:szCs w:val="22"/>
        </w:rPr>
      </w:pPr>
    </w:p>
    <w:p w14:paraId="611F09A0"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`POST /events` — Return an appropriate error (e.g., `503 Service Unavailable`) rather than hanging or returning a `500`.</w:t>
      </w:r>
    </w:p>
    <w:p w14:paraId="7EC129AB"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`GET /</w:t>
      </w:r>
      <w:proofErr w:type="gramStart"/>
      <w:r w:rsidRPr="00DF50C2">
        <w:rPr>
          <w:rFonts w:ascii="Calibri" w:hAnsi="Calibri" w:cs="Calibri"/>
          <w:sz w:val="22"/>
          <w:szCs w:val="22"/>
        </w:rPr>
        <w:t>events/{</w:t>
      </w:r>
      <w:proofErr w:type="gramEnd"/>
      <w:r w:rsidRPr="00DF50C2">
        <w:rPr>
          <w:rFonts w:ascii="Calibri" w:hAnsi="Calibri" w:cs="Calibri"/>
          <w:sz w:val="22"/>
          <w:szCs w:val="22"/>
        </w:rPr>
        <w:t>id}` and `GET /</w:t>
      </w:r>
      <w:proofErr w:type="spellStart"/>
      <w:r w:rsidRPr="00DF50C2">
        <w:rPr>
          <w:rFonts w:ascii="Calibri" w:hAnsi="Calibri" w:cs="Calibri"/>
          <w:sz w:val="22"/>
          <w:szCs w:val="22"/>
        </w:rPr>
        <w:t>events?account</w:t>
      </w:r>
      <w:proofErr w:type="spellEnd"/>
      <w:r w:rsidRPr="00DF50C2">
        <w:rPr>
          <w:rFonts w:ascii="Calibri" w:hAnsi="Calibri" w:cs="Calibri"/>
          <w:sz w:val="22"/>
          <w:szCs w:val="22"/>
        </w:rPr>
        <w:t>=...` — Should **still work**, as they only depend on the Gateway's local data.</w:t>
      </w:r>
    </w:p>
    <w:p w14:paraId="53689090"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Balance queries — Return a clear error indicating the Account Service is unreachable.</w:t>
      </w:r>
    </w:p>
    <w:p w14:paraId="6D7EBF7F" w14:textId="77777777" w:rsidR="00DF50C2" w:rsidRPr="00DF50C2" w:rsidRDefault="00DF50C2" w:rsidP="00DF50C2">
      <w:pPr>
        <w:rPr>
          <w:rFonts w:ascii="Calibri" w:hAnsi="Calibri" w:cs="Calibri"/>
          <w:sz w:val="22"/>
          <w:szCs w:val="22"/>
        </w:rPr>
      </w:pPr>
    </w:p>
    <w:p w14:paraId="32856D83"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7. Docker Compose (Preferred)</w:t>
      </w:r>
    </w:p>
    <w:p w14:paraId="43C71687" w14:textId="77777777" w:rsidR="00DF50C2" w:rsidRPr="00DF50C2" w:rsidRDefault="00DF50C2" w:rsidP="00DF50C2">
      <w:pPr>
        <w:rPr>
          <w:rFonts w:ascii="Calibri" w:hAnsi="Calibri" w:cs="Calibri"/>
          <w:sz w:val="22"/>
          <w:szCs w:val="22"/>
        </w:rPr>
      </w:pPr>
    </w:p>
    <w:p w14:paraId="47B80E03"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Provide a `docker-</w:t>
      </w:r>
      <w:proofErr w:type="spellStart"/>
      <w:r w:rsidRPr="00DF50C2">
        <w:rPr>
          <w:rFonts w:ascii="Calibri" w:hAnsi="Calibri" w:cs="Calibri"/>
          <w:sz w:val="22"/>
          <w:szCs w:val="22"/>
        </w:rPr>
        <w:t>compose.yml</w:t>
      </w:r>
      <w:proofErr w:type="spellEnd"/>
      <w:r w:rsidRPr="00DF50C2">
        <w:rPr>
          <w:rFonts w:ascii="Calibri" w:hAnsi="Calibri" w:cs="Calibri"/>
          <w:sz w:val="22"/>
          <w:szCs w:val="22"/>
        </w:rPr>
        <w:t>` that starts both services. If you choose not to use Docker, provide clear step-by-step instructions for starting both services locally.</w:t>
      </w:r>
    </w:p>
    <w:p w14:paraId="7AFE622D" w14:textId="77777777" w:rsidR="00DF50C2" w:rsidRPr="00DF50C2" w:rsidRDefault="00DF50C2" w:rsidP="00DF50C2">
      <w:pPr>
        <w:rPr>
          <w:rFonts w:ascii="Calibri" w:hAnsi="Calibri" w:cs="Calibri"/>
          <w:sz w:val="22"/>
          <w:szCs w:val="22"/>
        </w:rPr>
      </w:pPr>
    </w:p>
    <w:p w14:paraId="0C09576E"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lastRenderedPageBreak/>
        <w:t>### 8. Automated Tests</w:t>
      </w:r>
    </w:p>
    <w:p w14:paraId="5D6BCCD5" w14:textId="77777777" w:rsidR="00DF50C2" w:rsidRPr="00DF50C2" w:rsidRDefault="00DF50C2" w:rsidP="00DF50C2">
      <w:pPr>
        <w:rPr>
          <w:rFonts w:ascii="Calibri" w:hAnsi="Calibri" w:cs="Calibri"/>
          <w:sz w:val="22"/>
          <w:szCs w:val="22"/>
        </w:rPr>
      </w:pPr>
    </w:p>
    <w:p w14:paraId="0B9DF839"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Include tests that cover:</w:t>
      </w:r>
    </w:p>
    <w:p w14:paraId="46486B50" w14:textId="77777777" w:rsidR="00DF50C2" w:rsidRPr="00DF50C2" w:rsidRDefault="00DF50C2" w:rsidP="00DF50C2">
      <w:pPr>
        <w:rPr>
          <w:rFonts w:ascii="Calibri" w:hAnsi="Calibri" w:cs="Calibri"/>
          <w:sz w:val="22"/>
          <w:szCs w:val="22"/>
        </w:rPr>
      </w:pPr>
    </w:p>
    <w:p w14:paraId="6349B646"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All core functionality (idempotency, out-of-order, balance, validation)</w:t>
      </w:r>
    </w:p>
    <w:p w14:paraId="1DE28FF2"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**Resiliency behavior**: Simulate Account Service failure and verify the Gateway handles it correctly (circuit breaker opens, proper error responses, etc.)</w:t>
      </w:r>
    </w:p>
    <w:p w14:paraId="17B8FBB3"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**Trace propagation**: Verify trace IDs flow from Gateway to Account Service</w:t>
      </w:r>
    </w:p>
    <w:p w14:paraId="2E9CD221"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**Integration**: At least one test that exercises the full Gateway → Account Service flow</w:t>
      </w:r>
    </w:p>
    <w:p w14:paraId="5135F622" w14:textId="77777777" w:rsidR="00DF50C2" w:rsidRPr="00DF50C2" w:rsidRDefault="00DF50C2" w:rsidP="00DF50C2">
      <w:pPr>
        <w:rPr>
          <w:rFonts w:ascii="Calibri" w:hAnsi="Calibri" w:cs="Calibri"/>
          <w:sz w:val="22"/>
          <w:szCs w:val="22"/>
        </w:rPr>
      </w:pPr>
    </w:p>
    <w:p w14:paraId="1E304E65"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Tests must be runnable with a standard command (e.g., `</w:t>
      </w:r>
      <w:proofErr w:type="spellStart"/>
      <w:r w:rsidRPr="00DF50C2">
        <w:rPr>
          <w:rFonts w:ascii="Calibri" w:hAnsi="Calibri" w:cs="Calibri"/>
          <w:sz w:val="22"/>
          <w:szCs w:val="22"/>
        </w:rPr>
        <w:t>mvn</w:t>
      </w:r>
      <w:proofErr w:type="spellEnd"/>
      <w:r w:rsidRPr="00DF50C2">
        <w:rPr>
          <w:rFonts w:ascii="Calibri" w:hAnsi="Calibri" w:cs="Calibri"/>
          <w:sz w:val="22"/>
          <w:szCs w:val="22"/>
        </w:rPr>
        <w:t xml:space="preserve"> test`, `</w:t>
      </w:r>
      <w:proofErr w:type="spellStart"/>
      <w:r w:rsidRPr="00DF50C2">
        <w:rPr>
          <w:rFonts w:ascii="Calibri" w:hAnsi="Calibri" w:cs="Calibri"/>
          <w:sz w:val="22"/>
          <w:szCs w:val="22"/>
        </w:rPr>
        <w:t>pytest</w:t>
      </w:r>
      <w:proofErr w:type="spellEnd"/>
      <w:r w:rsidRPr="00DF50C2">
        <w:rPr>
          <w:rFonts w:ascii="Calibri" w:hAnsi="Calibri" w:cs="Calibri"/>
          <w:sz w:val="22"/>
          <w:szCs w:val="22"/>
        </w:rPr>
        <w:t>`, `dotnet test`).</w:t>
      </w:r>
    </w:p>
    <w:p w14:paraId="3E3C3C94" w14:textId="77777777" w:rsidR="00DF50C2" w:rsidRPr="00DF50C2" w:rsidRDefault="00DF50C2" w:rsidP="00DF50C2">
      <w:pPr>
        <w:rPr>
          <w:rFonts w:ascii="Calibri" w:hAnsi="Calibri" w:cs="Calibri"/>
          <w:sz w:val="22"/>
          <w:szCs w:val="22"/>
        </w:rPr>
      </w:pPr>
    </w:p>
    <w:p w14:paraId="27ECC2F9"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9. README</w:t>
      </w:r>
    </w:p>
    <w:p w14:paraId="41008FB1" w14:textId="77777777" w:rsidR="00DF50C2" w:rsidRPr="00DF50C2" w:rsidRDefault="00DF50C2" w:rsidP="00DF50C2">
      <w:pPr>
        <w:rPr>
          <w:rFonts w:ascii="Calibri" w:hAnsi="Calibri" w:cs="Calibri"/>
          <w:sz w:val="22"/>
          <w:szCs w:val="22"/>
        </w:rPr>
      </w:pPr>
    </w:p>
    <w:p w14:paraId="4D954CD8"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Include a `README.md` with:</w:t>
      </w:r>
    </w:p>
    <w:p w14:paraId="73B1E89C" w14:textId="77777777" w:rsidR="00DF50C2" w:rsidRPr="00DF50C2" w:rsidRDefault="00DF50C2" w:rsidP="00DF50C2">
      <w:pPr>
        <w:rPr>
          <w:rFonts w:ascii="Calibri" w:hAnsi="Calibri" w:cs="Calibri"/>
          <w:sz w:val="22"/>
          <w:szCs w:val="22"/>
        </w:rPr>
      </w:pPr>
    </w:p>
    <w:p w14:paraId="0B35A954"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Architecture overview (a brief description of both services and how they interact)</w:t>
      </w:r>
    </w:p>
    <w:p w14:paraId="24ADAA59"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Setup instructions (prerequisites, how to install dependencies)</w:t>
      </w:r>
    </w:p>
    <w:p w14:paraId="356CDFF7"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How to start both services (Docker Compose or manual)</w:t>
      </w:r>
    </w:p>
    <w:p w14:paraId="2CD8D315"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How to run the tests</w:t>
      </w:r>
    </w:p>
    <w:p w14:paraId="1526A9FE"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A brief explanation of your resiliency pattern choice</w:t>
      </w:r>
    </w:p>
    <w:p w14:paraId="07543531" w14:textId="77777777" w:rsidR="00DF50C2" w:rsidRPr="00DF50C2" w:rsidRDefault="00DF50C2" w:rsidP="00DF50C2">
      <w:pPr>
        <w:rPr>
          <w:rFonts w:ascii="Calibri" w:hAnsi="Calibri" w:cs="Calibri"/>
          <w:sz w:val="22"/>
          <w:szCs w:val="22"/>
        </w:rPr>
      </w:pPr>
    </w:p>
    <w:p w14:paraId="448949F4"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w:t>
      </w:r>
    </w:p>
    <w:p w14:paraId="61E6F579" w14:textId="77777777" w:rsidR="00DF50C2" w:rsidRPr="00DF50C2" w:rsidRDefault="00DF50C2" w:rsidP="00DF50C2">
      <w:pPr>
        <w:rPr>
          <w:rFonts w:ascii="Calibri" w:hAnsi="Calibri" w:cs="Calibri"/>
          <w:sz w:val="22"/>
          <w:szCs w:val="22"/>
        </w:rPr>
      </w:pPr>
    </w:p>
    <w:p w14:paraId="74640902"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Constraints</w:t>
      </w:r>
    </w:p>
    <w:p w14:paraId="3CBA7AB4" w14:textId="77777777" w:rsidR="00DF50C2" w:rsidRPr="00DF50C2" w:rsidRDefault="00DF50C2" w:rsidP="00DF50C2">
      <w:pPr>
        <w:rPr>
          <w:rFonts w:ascii="Calibri" w:hAnsi="Calibri" w:cs="Calibri"/>
          <w:sz w:val="22"/>
          <w:szCs w:val="22"/>
        </w:rPr>
      </w:pPr>
    </w:p>
    <w:p w14:paraId="5902114C"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**Language:** Java, Python, or C# (your choice)</w:t>
      </w:r>
    </w:p>
    <w:p w14:paraId="3F5E7C82"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**Database:** Each service uses its own in-memory or embedded database (H2, SQLite, etc.)</w:t>
      </w:r>
    </w:p>
    <w:p w14:paraId="26DB5049"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lastRenderedPageBreak/>
        <w:t>- **Communication:** Synchronous REST calls between services</w:t>
      </w:r>
    </w:p>
    <w:p w14:paraId="46A3B7D1"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**Tracing:** OpenTelemetry preferred (not required)</w:t>
      </w:r>
    </w:p>
    <w:p w14:paraId="11CFA8B7"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**Docker:** Docker Compose preferred for running (not required)</w:t>
      </w:r>
    </w:p>
    <w:p w14:paraId="66883B83"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**Framework:** Your choice (Spring Boot, Flask/FastAPI, ASP.NET, etc.)</w:t>
      </w:r>
    </w:p>
    <w:p w14:paraId="135FF1ED" w14:textId="77777777" w:rsidR="00DF50C2" w:rsidRPr="00DF50C2" w:rsidRDefault="00DF50C2" w:rsidP="00DF50C2">
      <w:pPr>
        <w:rPr>
          <w:rFonts w:ascii="Calibri" w:hAnsi="Calibri" w:cs="Calibri"/>
          <w:sz w:val="22"/>
          <w:szCs w:val="22"/>
        </w:rPr>
      </w:pPr>
    </w:p>
    <w:p w14:paraId="62D0C2B3"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w:t>
      </w:r>
    </w:p>
    <w:p w14:paraId="7DCA304E" w14:textId="77777777" w:rsidR="00DF50C2" w:rsidRPr="00DF50C2" w:rsidRDefault="00DF50C2" w:rsidP="00DF50C2">
      <w:pPr>
        <w:rPr>
          <w:rFonts w:ascii="Calibri" w:hAnsi="Calibri" w:cs="Calibri"/>
          <w:sz w:val="22"/>
          <w:szCs w:val="22"/>
        </w:rPr>
      </w:pPr>
    </w:p>
    <w:p w14:paraId="50AC1406"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Submission</w:t>
      </w:r>
    </w:p>
    <w:p w14:paraId="74891566" w14:textId="77777777" w:rsidR="00DF50C2" w:rsidRPr="00DF50C2" w:rsidRDefault="00DF50C2" w:rsidP="00DF50C2">
      <w:pPr>
        <w:rPr>
          <w:rFonts w:ascii="Calibri" w:hAnsi="Calibri" w:cs="Calibri"/>
          <w:sz w:val="22"/>
          <w:szCs w:val="22"/>
        </w:rPr>
      </w:pPr>
    </w:p>
    <w:p w14:paraId="4A06E77C"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Submit your solution as a **Git repository** (GitHub, GitLab, Bitbucket, etc.)</w:t>
      </w:r>
    </w:p>
    <w:p w14:paraId="05EB5C70"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Your **commit history should reflect your working process</w:t>
      </w:r>
      <w:proofErr w:type="gramStart"/>
      <w:r w:rsidRPr="00DF50C2">
        <w:rPr>
          <w:rFonts w:ascii="Calibri" w:hAnsi="Calibri" w:cs="Calibri"/>
          <w:sz w:val="22"/>
          <w:szCs w:val="22"/>
        </w:rPr>
        <w:t>** —</w:t>
      </w:r>
      <w:proofErr w:type="gramEnd"/>
      <w:r w:rsidRPr="00DF50C2">
        <w:rPr>
          <w:rFonts w:ascii="Calibri" w:hAnsi="Calibri" w:cs="Calibri"/>
          <w:sz w:val="22"/>
          <w:szCs w:val="22"/>
        </w:rPr>
        <w:t xml:space="preserve"> please don't squash everything into a single commit</w:t>
      </w:r>
    </w:p>
    <w:p w14:paraId="3145E6BE" w14:textId="77777777" w:rsidR="00DF50C2" w:rsidRPr="00DF50C2" w:rsidRDefault="00DF50C2" w:rsidP="00DF50C2">
      <w:pPr>
        <w:rPr>
          <w:rFonts w:ascii="Calibri" w:hAnsi="Calibri" w:cs="Calibri"/>
          <w:sz w:val="22"/>
          <w:szCs w:val="22"/>
        </w:rPr>
      </w:pPr>
    </w:p>
    <w:p w14:paraId="61B1C763"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w:t>
      </w:r>
    </w:p>
    <w:p w14:paraId="7C3AFBED" w14:textId="77777777" w:rsidR="00DF50C2" w:rsidRPr="00DF50C2" w:rsidRDefault="00DF50C2" w:rsidP="00DF50C2">
      <w:pPr>
        <w:rPr>
          <w:rFonts w:ascii="Calibri" w:hAnsi="Calibri" w:cs="Calibri"/>
          <w:sz w:val="22"/>
          <w:szCs w:val="22"/>
        </w:rPr>
      </w:pPr>
    </w:p>
    <w:p w14:paraId="7DDFA090"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Bonus Opportunities (Not Required)</w:t>
      </w:r>
    </w:p>
    <w:p w14:paraId="071FC30E" w14:textId="77777777" w:rsidR="00DF50C2" w:rsidRPr="00DF50C2" w:rsidRDefault="00DF50C2" w:rsidP="00DF50C2">
      <w:pPr>
        <w:rPr>
          <w:rFonts w:ascii="Calibri" w:hAnsi="Calibri" w:cs="Calibri"/>
          <w:sz w:val="22"/>
          <w:szCs w:val="22"/>
        </w:rPr>
      </w:pPr>
    </w:p>
    <w:p w14:paraId="688AA49C"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If you finish early or want to go further, consider:</w:t>
      </w:r>
    </w:p>
    <w:p w14:paraId="29D9DB2D" w14:textId="77777777" w:rsidR="00DF50C2" w:rsidRPr="00DF50C2" w:rsidRDefault="00DF50C2" w:rsidP="00DF50C2">
      <w:pPr>
        <w:rPr>
          <w:rFonts w:ascii="Calibri" w:hAnsi="Calibri" w:cs="Calibri"/>
          <w:sz w:val="22"/>
          <w:szCs w:val="22"/>
        </w:rPr>
      </w:pPr>
    </w:p>
    <w:p w14:paraId="25BA1368"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OpenTelemetry Collector + Jaeger or Zipkin for trace visualization</w:t>
      </w:r>
    </w:p>
    <w:p w14:paraId="6E875040"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Prometheus metrics endpoint</w:t>
      </w:r>
    </w:p>
    <w:p w14:paraId="581E8E6D"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Retry with exponential backoff + jitter</w:t>
      </w:r>
    </w:p>
    <w:p w14:paraId="274ACA16"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Rate limiting on the Gateway</w:t>
      </w:r>
    </w:p>
    <w:p w14:paraId="7B376356"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Contract tests (Pact or similar) between the two services</w:t>
      </w:r>
    </w:p>
    <w:p w14:paraId="16EAE709"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 Async fallback: queue events locally when Account Service is down, process when it recovers</w:t>
      </w:r>
    </w:p>
    <w:p w14:paraId="4CAE036F" w14:textId="77777777" w:rsidR="00DF50C2" w:rsidRPr="00DF50C2" w:rsidRDefault="00DF50C2" w:rsidP="00DF50C2">
      <w:pPr>
        <w:rPr>
          <w:rFonts w:ascii="Calibri" w:hAnsi="Calibri" w:cs="Calibri"/>
          <w:sz w:val="22"/>
          <w:szCs w:val="22"/>
        </w:rPr>
      </w:pPr>
    </w:p>
    <w:p w14:paraId="4AC697E2"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w:t>
      </w:r>
    </w:p>
    <w:p w14:paraId="3FBD9BC8" w14:textId="77777777" w:rsidR="00DF50C2" w:rsidRPr="00DF50C2" w:rsidRDefault="00DF50C2" w:rsidP="00DF50C2">
      <w:pPr>
        <w:rPr>
          <w:rFonts w:ascii="Calibri" w:hAnsi="Calibri" w:cs="Calibri"/>
          <w:sz w:val="22"/>
          <w:szCs w:val="22"/>
        </w:rPr>
      </w:pPr>
    </w:p>
    <w:p w14:paraId="680E29F6"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lastRenderedPageBreak/>
        <w:t>## Questions?</w:t>
      </w:r>
    </w:p>
    <w:p w14:paraId="026CA833" w14:textId="77777777" w:rsidR="00DF50C2" w:rsidRPr="00DF50C2" w:rsidRDefault="00DF50C2" w:rsidP="00DF50C2">
      <w:pPr>
        <w:rPr>
          <w:rFonts w:ascii="Calibri" w:hAnsi="Calibri" w:cs="Calibri"/>
          <w:sz w:val="22"/>
          <w:szCs w:val="22"/>
        </w:rPr>
      </w:pPr>
    </w:p>
    <w:p w14:paraId="1D7D5A3C" w14:textId="77777777" w:rsidR="00DF50C2" w:rsidRPr="00DF50C2" w:rsidRDefault="00DF50C2" w:rsidP="00DF50C2">
      <w:pPr>
        <w:rPr>
          <w:rFonts w:ascii="Calibri" w:hAnsi="Calibri" w:cs="Calibri"/>
          <w:sz w:val="22"/>
          <w:szCs w:val="22"/>
        </w:rPr>
      </w:pPr>
      <w:r w:rsidRPr="00DF50C2">
        <w:rPr>
          <w:rFonts w:ascii="Calibri" w:hAnsi="Calibri" w:cs="Calibri"/>
          <w:sz w:val="22"/>
          <w:szCs w:val="22"/>
        </w:rPr>
        <w:t>If anything is unclear, please reach out to your recruiter or hiring manager. We'd rather you ask than guess.</w:t>
      </w:r>
    </w:p>
    <w:p w14:paraId="6CFB81FE" w14:textId="77777777" w:rsidR="00DF50C2" w:rsidRPr="00DF50C2" w:rsidRDefault="00DF50C2" w:rsidP="00DF50C2">
      <w:pPr>
        <w:rPr>
          <w:rFonts w:ascii="Calibri" w:hAnsi="Calibri" w:cs="Calibri"/>
          <w:sz w:val="22"/>
          <w:szCs w:val="22"/>
        </w:rPr>
      </w:pPr>
    </w:p>
    <w:p w14:paraId="5B960E91" w14:textId="654427CB" w:rsidR="00DF50C2" w:rsidRPr="00766C36" w:rsidRDefault="00DF50C2">
      <w:pPr>
        <w:rPr>
          <w:rFonts w:ascii="Calibri" w:hAnsi="Calibri" w:cs="Calibri"/>
          <w:sz w:val="22"/>
          <w:szCs w:val="22"/>
        </w:rPr>
      </w:pPr>
      <w:r w:rsidRPr="00DF50C2">
        <w:rPr>
          <w:rFonts w:ascii="Calibri" w:hAnsi="Calibri" w:cs="Calibri"/>
          <w:sz w:val="22"/>
          <w:szCs w:val="22"/>
        </w:rPr>
        <w:t xml:space="preserve">Good </w:t>
      </w:r>
      <w:proofErr w:type="gramStart"/>
      <w:r w:rsidRPr="00DF50C2">
        <w:rPr>
          <w:rFonts w:ascii="Calibri" w:hAnsi="Calibri" w:cs="Calibri"/>
          <w:sz w:val="22"/>
          <w:szCs w:val="22"/>
        </w:rPr>
        <w:t>luck, and</w:t>
      </w:r>
      <w:proofErr w:type="gramEnd"/>
      <w:r w:rsidRPr="00DF50C2">
        <w:rPr>
          <w:rFonts w:ascii="Calibri" w:hAnsi="Calibri" w:cs="Calibri"/>
          <w:sz w:val="22"/>
          <w:szCs w:val="22"/>
        </w:rPr>
        <w:t xml:space="preserve"> have fun with it!</w:t>
      </w:r>
    </w:p>
    <w:sectPr w:rsidR="00DF50C2" w:rsidRPr="00766C36">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7D625" w14:textId="77777777" w:rsidR="00492914" w:rsidRDefault="00492914" w:rsidP="00F0597C">
      <w:pPr>
        <w:spacing w:after="0" w:line="240" w:lineRule="auto"/>
      </w:pPr>
      <w:r>
        <w:separator/>
      </w:r>
    </w:p>
  </w:endnote>
  <w:endnote w:type="continuationSeparator" w:id="0">
    <w:p w14:paraId="7724E71D" w14:textId="77777777" w:rsidR="00492914" w:rsidRDefault="00492914" w:rsidP="00F05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B3CE8" w14:textId="7A17D00A" w:rsidR="00F0597C" w:rsidRDefault="00F0597C">
    <w:pPr>
      <w:pStyle w:val="Footer"/>
    </w:pPr>
    <w:r>
      <w:rPr>
        <w:noProof/>
      </w:rPr>
      <mc:AlternateContent>
        <mc:Choice Requires="wps">
          <w:drawing>
            <wp:anchor distT="0" distB="0" distL="0" distR="0" simplePos="0" relativeHeight="251659264" behindDoc="0" locked="0" layoutInCell="1" allowOverlap="1" wp14:anchorId="7E9503B1" wp14:editId="14994AE4">
              <wp:simplePos x="635" y="635"/>
              <wp:positionH relativeFrom="page">
                <wp:align>left</wp:align>
              </wp:positionH>
              <wp:positionV relativeFrom="page">
                <wp:align>bottom</wp:align>
              </wp:positionV>
              <wp:extent cx="2035175" cy="370205"/>
              <wp:effectExtent l="0" t="0" r="9525" b="0"/>
              <wp:wrapNone/>
              <wp:docPr id="1804747545" name="Text Box 2" descr="   Classification: Schwab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35175" cy="370205"/>
                      </a:xfrm>
                      <a:prstGeom prst="rect">
                        <a:avLst/>
                      </a:prstGeom>
                      <a:noFill/>
                      <a:ln>
                        <a:noFill/>
                      </a:ln>
                    </wps:spPr>
                    <wps:txbx>
                      <w:txbxContent>
                        <w:p w14:paraId="30D643B2" w14:textId="26EFC6BA" w:rsidR="00F0597C" w:rsidRPr="00F0597C" w:rsidRDefault="00F0597C" w:rsidP="00F0597C">
                          <w:pPr>
                            <w:spacing w:after="0"/>
                            <w:rPr>
                              <w:rFonts w:ascii="Aptos" w:eastAsia="Aptos" w:hAnsi="Aptos" w:cs="Aptos"/>
                              <w:noProof/>
                              <w:color w:val="000000"/>
                              <w:sz w:val="20"/>
                              <w:szCs w:val="20"/>
                            </w:rPr>
                          </w:pPr>
                          <w:r w:rsidRPr="00F0597C">
                            <w:rPr>
                              <w:rFonts w:ascii="Aptos" w:eastAsia="Aptos" w:hAnsi="Aptos" w:cs="Aptos"/>
                              <w:noProof/>
                              <w:color w:val="000000"/>
                              <w:sz w:val="20"/>
                              <w:szCs w:val="20"/>
                            </w:rPr>
                            <w:t xml:space="preserve">   Classification: Schwab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E9503B1" id="_x0000_t202" coordsize="21600,21600" o:spt="202" path="m,l,21600r21600,l21600,xe">
              <v:stroke joinstyle="miter"/>
              <v:path gradientshapeok="t" o:connecttype="rect"/>
            </v:shapetype>
            <v:shape id="Text Box 2" o:spid="_x0000_s1026" type="#_x0000_t202" alt="   Classification: Schwab Internal" style="position:absolute;margin-left:0;margin-top:0;width:160.2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" filled="f" stroked="f">
              <v:textbox style="mso-fit-shape-to-text:t" inset="20pt,0,0,15pt">
                <w:txbxContent>
                  <w:p w14:paraId="30D643B2" w14:textId="26EFC6BA" w:rsidR="00F0597C" w:rsidRPr="00F0597C" w:rsidRDefault="00F0597C" w:rsidP="00F0597C">
                    <w:pPr>
                      <w:spacing w:after="0"/>
                      <w:rPr>
                        <w:rFonts w:ascii="Aptos" w:eastAsia="Aptos" w:hAnsi="Aptos" w:cs="Aptos"/>
                        <w:noProof/>
                        <w:color w:val="000000"/>
                        <w:sz w:val="20"/>
                        <w:szCs w:val="20"/>
                      </w:rPr>
                    </w:pPr>
                    <w:r w:rsidRPr="00F0597C">
                      <w:rPr>
                        <w:rFonts w:ascii="Aptos" w:eastAsia="Aptos" w:hAnsi="Aptos" w:cs="Aptos"/>
                        <w:noProof/>
                        <w:color w:val="000000"/>
                        <w:sz w:val="20"/>
                        <w:szCs w:val="20"/>
                      </w:rPr>
                      <w:t xml:space="preserve">   Classification: Schwab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028B2" w14:textId="00520804" w:rsidR="00F0597C" w:rsidRDefault="00F0597C">
    <w:pPr>
      <w:pStyle w:val="Footer"/>
    </w:pPr>
    <w:r>
      <w:rPr>
        <w:noProof/>
      </w:rPr>
      <mc:AlternateContent>
        <mc:Choice Requires="wps">
          <w:drawing>
            <wp:anchor distT="0" distB="0" distL="0" distR="0" simplePos="0" relativeHeight="251660288" behindDoc="0" locked="0" layoutInCell="1" allowOverlap="1" wp14:anchorId="660A4423" wp14:editId="51C4D7E2">
              <wp:simplePos x="0" y="0"/>
              <wp:positionH relativeFrom="page">
                <wp:align>left</wp:align>
              </wp:positionH>
              <wp:positionV relativeFrom="page">
                <wp:align>bottom</wp:align>
              </wp:positionV>
              <wp:extent cx="2035175" cy="370205"/>
              <wp:effectExtent l="0" t="0" r="9525" b="0"/>
              <wp:wrapNone/>
              <wp:docPr id="391473791" name="Text Box 3" descr="   Classification: Schwab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35175" cy="370205"/>
                      </a:xfrm>
                      <a:prstGeom prst="rect">
                        <a:avLst/>
                      </a:prstGeom>
                      <a:noFill/>
                      <a:ln>
                        <a:noFill/>
                      </a:ln>
                    </wps:spPr>
                    <wps:txbx>
                      <w:txbxContent>
                        <w:p w14:paraId="358FB495" w14:textId="650F79EA" w:rsidR="00F0597C" w:rsidRPr="00F0597C" w:rsidRDefault="00F0597C" w:rsidP="00F0597C">
                          <w:pPr>
                            <w:spacing w:after="0"/>
                            <w:rPr>
                              <w:rFonts w:ascii="Aptos" w:eastAsia="Aptos" w:hAnsi="Aptos" w:cs="Aptos"/>
                              <w:noProof/>
                              <w:color w:val="000000"/>
                              <w:sz w:val="20"/>
                              <w:szCs w:val="20"/>
                            </w:rPr>
                          </w:pPr>
                          <w:r w:rsidRPr="00F0597C">
                            <w:rPr>
                              <w:rFonts w:ascii="Aptos" w:eastAsia="Aptos" w:hAnsi="Aptos" w:cs="Aptos"/>
                              <w:noProof/>
                              <w:color w:val="000000"/>
                              <w:sz w:val="20"/>
                              <w:szCs w:val="20"/>
                            </w:rPr>
                            <w:t xml:space="preserve">   Classification: Schwab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60A4423" id="_x0000_t202" coordsize="21600,21600" o:spt="202" path="m,l,21600r21600,l21600,xe">
              <v:stroke joinstyle="miter"/>
              <v:path gradientshapeok="t" o:connecttype="rect"/>
            </v:shapetype>
            <v:shape id="Text Box 3" o:spid="_x0000_s1027" type="#_x0000_t202" alt="   Classification: Schwab Internal" style="position:absolute;margin-left:0;margin-top:0;width:160.2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" filled="f" stroked="f">
              <v:textbox style="mso-fit-shape-to-text:t" inset="20pt,0,0,15pt">
                <w:txbxContent>
                  <w:p w14:paraId="358FB495" w14:textId="650F79EA" w:rsidR="00F0597C" w:rsidRPr="00F0597C" w:rsidRDefault="00F0597C" w:rsidP="00F0597C">
                    <w:pPr>
                      <w:spacing w:after="0"/>
                      <w:rPr>
                        <w:rFonts w:ascii="Aptos" w:eastAsia="Aptos" w:hAnsi="Aptos" w:cs="Aptos"/>
                        <w:noProof/>
                        <w:color w:val="000000"/>
                        <w:sz w:val="20"/>
                        <w:szCs w:val="20"/>
                      </w:rPr>
                    </w:pPr>
                    <w:r w:rsidRPr="00F0597C">
                      <w:rPr>
                        <w:rFonts w:ascii="Aptos" w:eastAsia="Aptos" w:hAnsi="Aptos" w:cs="Aptos"/>
                        <w:noProof/>
                        <w:color w:val="000000"/>
                        <w:sz w:val="20"/>
                        <w:szCs w:val="20"/>
                      </w:rPr>
                      <w:t xml:space="preserve">   Classification: Schwab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457A4" w14:textId="2C3337A5" w:rsidR="00F0597C" w:rsidRDefault="00F0597C">
    <w:pPr>
      <w:pStyle w:val="Footer"/>
    </w:pPr>
    <w:r>
      <w:rPr>
        <w:noProof/>
      </w:rPr>
      <mc:AlternateContent>
        <mc:Choice Requires="wps">
          <w:drawing>
            <wp:anchor distT="0" distB="0" distL="0" distR="0" simplePos="0" relativeHeight="251658240" behindDoc="0" locked="0" layoutInCell="1" allowOverlap="1" wp14:anchorId="43EA73CE" wp14:editId="3A5B8517">
              <wp:simplePos x="635" y="635"/>
              <wp:positionH relativeFrom="page">
                <wp:align>left</wp:align>
              </wp:positionH>
              <wp:positionV relativeFrom="page">
                <wp:align>bottom</wp:align>
              </wp:positionV>
              <wp:extent cx="2035175" cy="370205"/>
              <wp:effectExtent l="0" t="0" r="9525" b="0"/>
              <wp:wrapNone/>
              <wp:docPr id="2023755744" name="Text Box 1" descr="   Classification: Schwab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35175" cy="370205"/>
                      </a:xfrm>
                      <a:prstGeom prst="rect">
                        <a:avLst/>
                      </a:prstGeom>
                      <a:noFill/>
                      <a:ln>
                        <a:noFill/>
                      </a:ln>
                    </wps:spPr>
                    <wps:txbx>
                      <w:txbxContent>
                        <w:p w14:paraId="54D57C82" w14:textId="1D167B25" w:rsidR="00F0597C" w:rsidRPr="00F0597C" w:rsidRDefault="00F0597C" w:rsidP="00F0597C">
                          <w:pPr>
                            <w:spacing w:after="0"/>
                            <w:rPr>
                              <w:rFonts w:ascii="Aptos" w:eastAsia="Aptos" w:hAnsi="Aptos" w:cs="Aptos"/>
                              <w:noProof/>
                              <w:color w:val="000000"/>
                              <w:sz w:val="20"/>
                              <w:szCs w:val="20"/>
                            </w:rPr>
                          </w:pPr>
                          <w:r w:rsidRPr="00F0597C">
                            <w:rPr>
                              <w:rFonts w:ascii="Aptos" w:eastAsia="Aptos" w:hAnsi="Aptos" w:cs="Aptos"/>
                              <w:noProof/>
                              <w:color w:val="000000"/>
                              <w:sz w:val="20"/>
                              <w:szCs w:val="20"/>
                            </w:rPr>
                            <w:t xml:space="preserve">   Classification: Schwab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EA73CE" id="_x0000_t202" coordsize="21600,21600" o:spt="202" path="m,l,21600r21600,l21600,xe">
              <v:stroke joinstyle="miter"/>
              <v:path gradientshapeok="t" o:connecttype="rect"/>
            </v:shapetype>
            <v:shape id="Text Box 1" o:spid="_x0000_s1028" type="#_x0000_t202" alt="   Classification: Schwab Internal" style="position:absolute;margin-left:0;margin-top:0;width:160.2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" filled="f" stroked="f">
              <v:textbox style="mso-fit-shape-to-text:t" inset="20pt,0,0,15pt">
                <w:txbxContent>
                  <w:p w14:paraId="54D57C82" w14:textId="1D167B25" w:rsidR="00F0597C" w:rsidRPr="00F0597C" w:rsidRDefault="00F0597C" w:rsidP="00F0597C">
                    <w:pPr>
                      <w:spacing w:after="0"/>
                      <w:rPr>
                        <w:rFonts w:ascii="Aptos" w:eastAsia="Aptos" w:hAnsi="Aptos" w:cs="Aptos"/>
                        <w:noProof/>
                        <w:color w:val="000000"/>
                        <w:sz w:val="20"/>
                        <w:szCs w:val="20"/>
                      </w:rPr>
                    </w:pPr>
                    <w:r w:rsidRPr="00F0597C">
                      <w:rPr>
                        <w:rFonts w:ascii="Aptos" w:eastAsia="Aptos" w:hAnsi="Aptos" w:cs="Aptos"/>
                        <w:noProof/>
                        <w:color w:val="000000"/>
                        <w:sz w:val="20"/>
                        <w:szCs w:val="20"/>
                      </w:rPr>
                      <w:t xml:space="preserve">   Classification: Schwab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6E242" w14:textId="77777777" w:rsidR="00492914" w:rsidRDefault="00492914" w:rsidP="00F0597C">
      <w:pPr>
        <w:spacing w:after="0" w:line="240" w:lineRule="auto"/>
      </w:pPr>
      <w:r>
        <w:separator/>
      </w:r>
    </w:p>
  </w:footnote>
  <w:footnote w:type="continuationSeparator" w:id="0">
    <w:p w14:paraId="38F2AA4F" w14:textId="77777777" w:rsidR="00492914" w:rsidRDefault="00492914" w:rsidP="00F0597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0C2"/>
    <w:rsid w:val="00492914"/>
    <w:rsid w:val="005814A3"/>
    <w:rsid w:val="00766C36"/>
    <w:rsid w:val="00793036"/>
    <w:rsid w:val="007D706B"/>
    <w:rsid w:val="00B85FA0"/>
    <w:rsid w:val="00BA6789"/>
    <w:rsid w:val="00C10878"/>
    <w:rsid w:val="00C83A9A"/>
    <w:rsid w:val="00D74AE9"/>
    <w:rsid w:val="00DF50C2"/>
    <w:rsid w:val="00F0597C"/>
    <w:rsid w:val="00F415BE"/>
    <w:rsid w:val="00F97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8A57D"/>
  <w15:chartTrackingRefBased/>
  <w15:docId w15:val="{D4F42258-B2ED-B443-AFCA-18DC6DE05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5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50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0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0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0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0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0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0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0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50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50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0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0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0C2"/>
    <w:rPr>
      <w:rFonts w:eastAsiaTheme="majorEastAsia" w:cstheme="majorBidi"/>
      <w:color w:val="272727" w:themeColor="text1" w:themeTint="D8"/>
    </w:rPr>
  </w:style>
  <w:style w:type="paragraph" w:styleId="Title">
    <w:name w:val="Title"/>
    <w:basedOn w:val="Normal"/>
    <w:next w:val="Normal"/>
    <w:link w:val="TitleChar"/>
    <w:uiPriority w:val="10"/>
    <w:qFormat/>
    <w:rsid w:val="00DF5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0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0C2"/>
    <w:pPr>
      <w:spacing w:before="160"/>
      <w:jc w:val="center"/>
    </w:pPr>
    <w:rPr>
      <w:i/>
      <w:iCs/>
      <w:color w:val="404040" w:themeColor="text1" w:themeTint="BF"/>
    </w:rPr>
  </w:style>
  <w:style w:type="character" w:customStyle="1" w:styleId="QuoteChar">
    <w:name w:val="Quote Char"/>
    <w:basedOn w:val="DefaultParagraphFont"/>
    <w:link w:val="Quote"/>
    <w:uiPriority w:val="29"/>
    <w:rsid w:val="00DF50C2"/>
    <w:rPr>
      <w:i/>
      <w:iCs/>
      <w:color w:val="404040" w:themeColor="text1" w:themeTint="BF"/>
    </w:rPr>
  </w:style>
  <w:style w:type="paragraph" w:styleId="ListParagraph">
    <w:name w:val="List Paragraph"/>
    <w:basedOn w:val="Normal"/>
    <w:uiPriority w:val="34"/>
    <w:qFormat/>
    <w:rsid w:val="00DF50C2"/>
    <w:pPr>
      <w:ind w:left="720"/>
      <w:contextualSpacing/>
    </w:pPr>
  </w:style>
  <w:style w:type="character" w:styleId="IntenseEmphasis">
    <w:name w:val="Intense Emphasis"/>
    <w:basedOn w:val="DefaultParagraphFont"/>
    <w:uiPriority w:val="21"/>
    <w:qFormat/>
    <w:rsid w:val="00DF50C2"/>
    <w:rPr>
      <w:i/>
      <w:iCs/>
      <w:color w:val="0F4761" w:themeColor="accent1" w:themeShade="BF"/>
    </w:rPr>
  </w:style>
  <w:style w:type="paragraph" w:styleId="IntenseQuote">
    <w:name w:val="Intense Quote"/>
    <w:basedOn w:val="Normal"/>
    <w:next w:val="Normal"/>
    <w:link w:val="IntenseQuoteChar"/>
    <w:uiPriority w:val="30"/>
    <w:qFormat/>
    <w:rsid w:val="00DF5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0C2"/>
    <w:rPr>
      <w:i/>
      <w:iCs/>
      <w:color w:val="0F4761" w:themeColor="accent1" w:themeShade="BF"/>
    </w:rPr>
  </w:style>
  <w:style w:type="character" w:styleId="IntenseReference">
    <w:name w:val="Intense Reference"/>
    <w:basedOn w:val="DefaultParagraphFont"/>
    <w:uiPriority w:val="32"/>
    <w:qFormat/>
    <w:rsid w:val="00DF50C2"/>
    <w:rPr>
      <w:b/>
      <w:bCs/>
      <w:smallCaps/>
      <w:color w:val="0F4761" w:themeColor="accent1" w:themeShade="BF"/>
      <w:spacing w:val="5"/>
    </w:rPr>
  </w:style>
  <w:style w:type="paragraph" w:styleId="Footer">
    <w:name w:val="footer"/>
    <w:basedOn w:val="Normal"/>
    <w:link w:val="FooterChar"/>
    <w:uiPriority w:val="99"/>
    <w:unhideWhenUsed/>
    <w:rsid w:val="00F059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59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1318</Words>
  <Characters>7515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Sudhanshu</dc:creator>
  <cp:keywords/>
  <dc:description/>
  <cp:lastModifiedBy>Gaurav Agrawal</cp:lastModifiedBy>
  <cp:revision>2</cp:revision>
  <dcterms:created xsi:type="dcterms:W3CDTF">2026-06-30T13:38:00Z</dcterms:created>
  <dcterms:modified xsi:type="dcterms:W3CDTF">2026-06-30T13:38:00Z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78a00fe0,6b924319,17556a7f</vt:lpwstr>
  </property>
  <property fmtid="{D5CDD505-2E9C-101B-9397-08002B2CF9AE}" pid="3" name="ClassificationContentMarkingFooterFontProps">
    <vt:lpwstr>#000000,10,Aptos</vt:lpwstr>
  </property>
  <property fmtid="{D5CDD505-2E9C-101B-9397-08002B2CF9AE}" pid="4" name="ClassificationContentMarkingFooterText">
    <vt:lpwstr>   Classification: Schwab Internal</vt:lpwstr>
  </property>
  <property fmtid="{D5CDD505-2E9C-101B-9397-08002B2CF9AE}" pid="5" name="MSIP_Label_6b5c19be-2d3a-4063-bcc2-f075097a5f8a_Enabled">
    <vt:lpwstr>true</vt:lpwstr>
  </property>
  <property fmtid="{D5CDD505-2E9C-101B-9397-08002B2CF9AE}" pid="6" name="MSIP_Label_6b5c19be-2d3a-4063-bcc2-f075097a5f8a_SetDate">
    <vt:lpwstr>2026-05-29T16:10:29Z</vt:lpwstr>
  </property>
  <property fmtid="{D5CDD505-2E9C-101B-9397-08002B2CF9AE}" pid="7" name="MSIP_Label_6b5c19be-2d3a-4063-bcc2-f075097a5f8a_Method">
    <vt:lpwstr>Standard</vt:lpwstr>
  </property>
  <property fmtid="{D5CDD505-2E9C-101B-9397-08002B2CF9AE}" pid="8" name="MSIP_Label_6b5c19be-2d3a-4063-bcc2-f075097a5f8a_Name">
    <vt:lpwstr>Internal</vt:lpwstr>
  </property>
  <property fmtid="{D5CDD505-2E9C-101B-9397-08002B2CF9AE}" pid="9" name="MSIP_Label_6b5c19be-2d3a-4063-bcc2-f075097a5f8a_SiteId">
    <vt:lpwstr>61de5c81-d3b4-4669-a7ae-bd2e3884f7fa</vt:lpwstr>
  </property>
  <property fmtid="{D5CDD505-2E9C-101B-9397-08002B2CF9AE}" pid="10" name="MSIP_Label_6b5c19be-2d3a-4063-bcc2-f075097a5f8a_ActionId">
    <vt:lpwstr>914efe18-9c33-4e62-b245-169cff96fab2</vt:lpwstr>
  </property>
  <property fmtid="{D5CDD505-2E9C-101B-9397-08002B2CF9AE}" pid="11" name="MSIP_Label_6b5c19be-2d3a-4063-bcc2-f075097a5f8a_ContentBits">
    <vt:lpwstr>2</vt:lpwstr>
  </property>
  <property fmtid="{D5CDD505-2E9C-101B-9397-08002B2CF9AE}" pid="12" name="MSIP_Label_6b5c19be-2d3a-4063-bcc2-f075097a5f8a_Tag">
    <vt:lpwstr>50, 3, 0, 1</vt:lpwstr>
  </property>
</Properties>
</file>