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IVIG for Neonatal Alloimmune Haemolytic Disease (HDFN) — Unit Guideline</w:t>
      </w:r>
    </w:p>
    <w:p>
      <w:pPr>
        <w:pStyle w:val="Author"/>
        <w:rPr/>
      </w:pPr>
      <w:r>
        <w:rPr/>
        <w:t>Imperial College Healthcare NHS Trust — Queen Charlotte's &amp; Chelsea and St Mary's Neonatal Units (DRAFT)</w:t>
      </w:r>
    </w:p>
    <w:sdt>
      <w:sdtPr>
        <w:docPartObj>
          <w:docPartGallery w:val="Table of Contents"/>
          <w:docPartUnique w:val="true"/>
        </w:docPartObj>
      </w:sdtPr>
      <w:sdtContent>
        <w:p>
          <w:pPr>
            <w:pStyle w:val="TOCHeading"/>
            <w:spacing w:lineRule="auto" w:line="259" w:before="240" w:after="0"/>
            <w:rPr>
              <w:rFonts w:ascii="Calibri" w:hAnsi="Calibri"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Table of Contents</w:t>
          </w:r>
        </w:p>
        <w:p>
          <w:pPr>
            <w:pStyle w:val="TOC1"/>
            <w:tabs>
              <w:tab w:val="clear" w:pos="9360"/>
              <w:tab w:val="right" w:pos="9359" w:leader="dot"/>
            </w:tabs>
            <w:rPr/>
          </w:pPr>
          <w:r>
            <w:fldChar w:fldCharType="begin"/>
          </w:r>
          <w:r>
            <w:rPr>
              <w:webHidden/>
              <w:rStyle w:val="IndexLink"/>
            </w:rPr>
            <w:instrText xml:space="preserve"> TOC \z \o "1-2" \u \h</w:instrText>
          </w:r>
          <w:r>
            <w:rPr>
              <w:webHidden/>
              <w:rStyle w:val="IndexLink"/>
            </w:rPr>
            <w:fldChar w:fldCharType="separate"/>
          </w:r>
          <w:hyperlink w:anchor="__RefHeading___Toc586_3445947287">
            <w:r>
              <w:rPr>
                <w:webHidden/>
                <w:rStyle w:val="IndexLink"/>
              </w:rPr>
              <w:t>IVIG for Neonatal Alloimmune Haemolytic Disease of the Fetus and Newborn (HDFN) — DRAFT Unit Guideline</w:t>
              <w:tab/>
              <w:t>1</w:t>
            </w:r>
          </w:hyperlink>
        </w:p>
        <w:p>
          <w:pPr>
            <w:pStyle w:val="TOC2"/>
            <w:tabs>
              <w:tab w:val="clear" w:pos="9077"/>
              <w:tab w:val="right" w:pos="9359" w:leader="dot"/>
            </w:tabs>
            <w:rPr/>
          </w:pPr>
          <w:hyperlink w:anchor="__RefHeading___Toc588_3445947287">
            <w:r>
              <w:rPr>
                <w:webHidden/>
                <w:rStyle w:val="IndexLink"/>
              </w:rPr>
              <w:t>1. Background and evidence summary</w:t>
              <w:tab/>
              <w:t>2</w:t>
            </w:r>
          </w:hyperlink>
        </w:p>
        <w:p>
          <w:pPr>
            <w:pStyle w:val="TOC2"/>
            <w:tabs>
              <w:tab w:val="clear" w:pos="9077"/>
              <w:tab w:val="right" w:pos="9359" w:leader="dot"/>
            </w:tabs>
            <w:rPr/>
          </w:pPr>
          <w:hyperlink w:anchor="__RefHeading___Toc590_3445947287">
            <w:r>
              <w:rPr>
                <w:webHidden/>
                <w:rStyle w:val="IndexLink"/>
              </w:rPr>
              <w:t>2. Indications</w:t>
              <w:tab/>
              <w:t>3</w:t>
            </w:r>
          </w:hyperlink>
        </w:p>
        <w:p>
          <w:pPr>
            <w:pStyle w:val="TOC2"/>
            <w:tabs>
              <w:tab w:val="clear" w:pos="9077"/>
              <w:tab w:val="right" w:pos="9359" w:leader="dot"/>
            </w:tabs>
            <w:rPr/>
          </w:pPr>
          <w:hyperlink w:anchor="__RefHeading___Toc592_3445947287">
            <w:r>
              <w:rPr>
                <w:webHidden/>
                <w:rStyle w:val="IndexLink"/>
              </w:rPr>
              <w:t>3. When to give — thresholds</w:t>
              <w:tab/>
              <w:t>4</w:t>
            </w:r>
          </w:hyperlink>
        </w:p>
        <w:p>
          <w:pPr>
            <w:pStyle w:val="TOC2"/>
            <w:tabs>
              <w:tab w:val="clear" w:pos="9077"/>
              <w:tab w:val="right" w:pos="9359" w:leader="dot"/>
            </w:tabs>
            <w:rPr/>
          </w:pPr>
          <w:hyperlink w:anchor="__RefHeading___Toc594_3445947287">
            <w:r>
              <w:rPr>
                <w:webHidden/>
                <w:rStyle w:val="IndexLink"/>
              </w:rPr>
              <w:t>4. Pre-IVIG checklist</w:t>
              <w:tab/>
              <w:t>5</w:t>
            </w:r>
          </w:hyperlink>
        </w:p>
        <w:p>
          <w:pPr>
            <w:pStyle w:val="TOC2"/>
            <w:tabs>
              <w:tab w:val="clear" w:pos="9077"/>
              <w:tab w:val="right" w:pos="9359" w:leader="dot"/>
            </w:tabs>
            <w:rPr/>
          </w:pPr>
          <w:hyperlink w:anchor="__RefHeading___Toc596_3445947287">
            <w:r>
              <w:rPr>
                <w:webHidden/>
                <w:rStyle w:val="IndexLink"/>
              </w:rPr>
              <w:t>5. Dose, product, administration</w:t>
              <w:tab/>
              <w:t>6</w:t>
            </w:r>
          </w:hyperlink>
        </w:p>
        <w:p>
          <w:pPr>
            <w:pStyle w:val="TOC2"/>
            <w:tabs>
              <w:tab w:val="clear" w:pos="9077"/>
              <w:tab w:val="right" w:pos="9359" w:leader="dot"/>
            </w:tabs>
            <w:rPr/>
          </w:pPr>
          <w:hyperlink w:anchor="__RefHeading___Toc598_3445947287">
            <w:r>
              <w:rPr>
                <w:webHidden/>
                <w:rStyle w:val="IndexLink"/>
              </w:rPr>
              <w:t>6. Monitoring</w:t>
              <w:tab/>
              <w:t>7</w:t>
            </w:r>
          </w:hyperlink>
        </w:p>
        <w:p>
          <w:pPr>
            <w:pStyle w:val="TOC2"/>
            <w:tabs>
              <w:tab w:val="clear" w:pos="9077"/>
              <w:tab w:val="right" w:pos="9359" w:leader="dot"/>
            </w:tabs>
            <w:rPr/>
          </w:pPr>
          <w:hyperlink w:anchor="__RefHeading___Toc600_3445947287">
            <w:r>
              <w:rPr>
                <w:webHidden/>
                <w:rStyle w:val="IndexLink"/>
              </w:rPr>
              <w:t>7. Risks and their management</w:t>
              <w:tab/>
              <w:t>8</w:t>
            </w:r>
          </w:hyperlink>
        </w:p>
        <w:p>
          <w:pPr>
            <w:pStyle w:val="TOC2"/>
            <w:tabs>
              <w:tab w:val="clear" w:pos="9077"/>
              <w:tab w:val="right" w:pos="9359" w:leader="dot"/>
            </w:tabs>
            <w:rPr/>
          </w:pPr>
          <w:hyperlink w:anchor="__RefHeading___Toc602_3445947287">
            <w:r>
              <w:rPr>
                <w:webHidden/>
                <w:rStyle w:val="IndexLink"/>
              </w:rPr>
              <w:t>8. Documentation, database entry, audit standards</w:t>
              <w:tab/>
              <w:t>9</w:t>
            </w:r>
          </w:hyperlink>
        </w:p>
        <w:p>
          <w:pPr>
            <w:pStyle w:val="TOC2"/>
            <w:tabs>
              <w:tab w:val="clear" w:pos="9077"/>
              <w:tab w:val="right" w:pos="9359" w:leader="dot"/>
            </w:tabs>
            <w:rPr/>
          </w:pPr>
          <w:hyperlink w:anchor="__RefHeading___Toc604_3445947287">
            <w:r>
              <w:rPr>
                <w:webHidden/>
                <w:rStyle w:val="IndexLink"/>
              </w:rPr>
              <w:t>References</w:t>
              <w:tab/>
              <w:t>10</w:t>
            </w:r>
          </w:hyperlink>
          <w:r>
            <w:rPr>
              <w:rStyle w:val="IndexLink"/>
            </w:rPr>
            <w:fldChar w:fldCharType="end"/>
          </w:r>
        </w:p>
      </w:sdtContent>
    </w:sdt>
    <w:p>
      <w:pPr>
        <w:pStyle w:val="Heading1"/>
        <w:rPr/>
      </w:pPr>
      <w:bookmarkStart w:id="0" w:name="__RefHeading___Toc586_3445947287"/>
      <w:bookmarkStart w:id="1" w:name="X62dfcc682726281cd23323369c090572a1a68e8"/>
      <w:bookmarkEnd w:id="0"/>
      <w:r>
        <w:rPr/>
        <w:t>IVIG for Neonatal Alloimmune Haemolytic Disease of the Fetus and Newborn (HDFN) — DRAFT Unit Guideline</w:t>
      </w:r>
    </w:p>
    <w:p>
      <w:pPr>
        <w:pStyle w:val="FirstParagraph"/>
        <w:rPr/>
      </w:pPr>
      <w:r>
        <w:rPr>
          <w:b/>
          <w:bCs/>
        </w:rPr>
        <w:t xml:space="preserve">Status: DRAFT — for consultant/guideline-group review before ratification. Built from a systematised narrative evidence review completed 20 Sep 2026 (full evidence base: </w:t>
      </w:r>
      <w:r>
        <w:rPr>
          <w:rStyle w:val="VerbatimChar"/>
          <w:b/>
          <w:bCs/>
        </w:rPr>
        <w:t>../03-synthesis/</w:t>
      </w:r>
      <w:r>
        <w:rPr>
          <w:b/>
          <w:bCs/>
        </w:rPr>
        <w:t xml:space="preserve">, </w:t>
      </w:r>
      <w:r>
        <w:rPr>
          <w:rStyle w:val="VerbatimChar"/>
          <w:b/>
          <w:bCs/>
        </w:rPr>
        <w:t>../02-extraction/</w:t>
      </w:r>
      <w:r>
        <w:rPr>
          <w:b/>
          <w:bCs/>
        </w:rPr>
        <w:t>).</w:t>
      </w:r>
      <w:r>
        <w:rPr/>
        <w:t xml:space="preserve"> Not yet a ratified Trust guideline. Two items must be resolved before ratification (see boxed notes at end of §1 and §3): (1) direct verification of NICE CG98’s underlying evidence citations (this review’s access to nice.org.uk was blocked; conclusions about NICE’s evidence base rest on WebSearch synthesis only), and (2) direct verification of current UK product SPCs for the IVIG brand(s) actually stocked at Queen Charlotte’s &amp; Chelsea and St Mary’s (this review’s access to medicines.org.uk was blocked; dosing/infusion-rate figures below are WebSearch-derived and flagged).</w:t>
      </w:r>
    </w:p>
    <w:p>
      <w:pPr>
        <w:pStyle w:val="BodyText"/>
        <w:rPr/>
      </w:pPr>
      <w:r>
        <w:rPr>
          <w:b/>
          <w:bCs/>
        </w:rPr>
        <w:t>Scope and audience:</w:t>
      </w:r>
      <w:r>
        <w:rPr/>
        <w:t xml:space="preserve"> Neonatal medical and nursing staff, NICU and postnatal wards, both Imperial College Healthcare NHS Trust neonatal sites (Queen Charlotte’s &amp; Chelsea, St Mary’s). Covers postnatal IVIG use in confirmed or suspected alloimmune HDFN (Rh, ABO, and other red-cell alloantibodies). Does </w:t>
      </w:r>
      <w:r>
        <w:rPr>
          <w:b/>
          <w:bCs/>
        </w:rPr>
        <w:t>not</w:t>
      </w:r>
      <w:r>
        <w:rPr/>
        <w:t xml:space="preserve"> cover antenatal maternal IVIG (a distinct intervention, out of scope for this review — see </w:t>
      </w:r>
      <w:r>
        <w:rPr>
          <w:rStyle w:val="VerbatimChar"/>
        </w:rPr>
        <w:t>../00-protocol/out-of-scope.md</w:t>
      </w:r>
      <w:r>
        <w:rPr/>
        <w:t>).</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 w:name="__RefHeading___Toc588_3445947287"/>
      <w:bookmarkStart w:id="3" w:name="background-and-evidence-summary"/>
      <w:bookmarkEnd w:id="2"/>
      <w:r>
        <w:rPr/>
        <w:t>1. Background and evidence summary</w:t>
      </w:r>
    </w:p>
    <w:p>
      <w:pPr>
        <w:pStyle w:val="FirstParagraph"/>
        <w:rPr/>
      </w:pPr>
      <w:r>
        <w:rPr/>
        <w:t xml:space="preserve">Alloimmune HDFN occurs when maternal IgG against a fetal/neonatal red-cell antigen (most importantly Rh-D, but also ABO, Kell, c, E, and other minor antigens) crosses the placenta and causes haemolysis. IVIG’s proposed mechanism is Fc-receptor blockade in the reticuloendothelial system, reducing macrophage-mediated clearance of antibody-coated red cells — a mechanism established for anti-D in an unrelated adult condition (ITP), not directly demonstrated for IVIG in neonatal HDFN itself (see </w:t>
      </w:r>
      <w:r>
        <w:rPr>
          <w:rStyle w:val="VerbatimChar"/>
        </w:rPr>
        <w:t>../03-synthesis/00-mechanism.md</w:t>
      </w:r>
      <w:r>
        <w:rPr/>
        <w:t>).</w:t>
      </w:r>
    </w:p>
    <w:p>
      <w:pPr>
        <w:pStyle w:val="BodyText"/>
        <w:rPr/>
      </w:pPr>
      <w:r>
        <w:rPr>
          <w:b/>
          <w:bCs/>
        </w:rPr>
        <w:t>The evidence for IVIG’s clinical benefit does not hold up as well as widely-cited historical figures suggest, and this is the single most important thing this guideline needs the reader to understand before using the dose/threshold tables below.</w:t>
      </w:r>
    </w:p>
    <w:p>
      <w:pPr>
        <w:pStyle w:val="Compact"/>
        <w:numPr>
          <w:ilvl w:val="0"/>
          <w:numId w:val="1"/>
        </w:numPr>
        <w:rPr/>
      </w:pPr>
      <w:r>
        <w:rPr/>
        <w:t xml:space="preserve">In </w:t>
      </w:r>
      <w:r>
        <w:rPr>
          <w:b/>
          <w:bCs/>
        </w:rPr>
        <w:t>term Rh-D disease</w:t>
      </w:r>
      <w:r>
        <w:rPr/>
        <w:t xml:space="preserve">, the two best-conducted trials — both double-blind, placebo-controlled, under modern/high-intensity phototherapy (Smits-Wintjens et al. 2011, Leiden, PMID 21422084; Santos et al. 2012, Brazil, PMID 22882285) — found </w:t>
      </w:r>
      <w:r>
        <w:rPr>
          <w:b/>
          <w:bCs/>
        </w:rPr>
        <w:t>no reduction in exchange transfusion, phototherapy duration, peak bilirubin, or top-up transfusion requirement</w:t>
      </w:r>
      <w:r>
        <w:rPr/>
        <w:t xml:space="preserve">. Every trial reporting a large benefit is open-label, unblinded, or predates intensive phototherapy as standard care. </w:t>
      </w:r>
      <w:r>
        <w:rPr>
          <w:b/>
          <w:bCs/>
        </w:rPr>
        <w:t>GRADE: Low–Moderate certainty of no effect</w:t>
      </w:r>
      <w:r>
        <w:rPr/>
        <w:t xml:space="preserve"> once modern phototherapy is already in use (</w:t>
      </w:r>
      <w:r>
        <w:rPr>
          <w:rStyle w:val="VerbatimChar"/>
        </w:rPr>
        <w:t>../03-synthesis/domain-A.md</w:t>
      </w:r>
      <w:r>
        <w:rPr/>
        <w:t xml:space="preserve">, </w:t>
      </w:r>
      <w:r>
        <w:rPr>
          <w:rStyle w:val="VerbatimChar"/>
        </w:rPr>
        <w:t>cross-cutting.md</w:t>
      </w:r>
      <w:r>
        <w:rPr/>
        <w:t xml:space="preserve"> §1).</w:t>
      </w:r>
    </w:p>
    <w:p>
      <w:pPr>
        <w:pStyle w:val="Compact"/>
        <w:numPr>
          <w:ilvl w:val="0"/>
          <w:numId w:val="1"/>
        </w:numPr>
        <w:rPr/>
      </w:pPr>
      <w:r>
        <w:rPr/>
        <w:t xml:space="preserve">In </w:t>
      </w:r>
      <w:r>
        <w:rPr>
          <w:b/>
          <w:bCs/>
        </w:rPr>
        <w:t>ABO disease</w:t>
      </w:r>
      <w:r>
        <w:rPr/>
        <w:t xml:space="preserve">, the case for benefit is weaker still: no placebo-controlled, low-risk-of-bias trial has ever been conducted, and the four largest modern cohorts (n=531, 579, 202, 114) trend null-or-adverse, albeit confounded by indication. </w:t>
      </w:r>
      <w:r>
        <w:rPr>
          <w:b/>
          <w:bCs/>
        </w:rPr>
        <w:t>GRADE: Very low certainty</w:t>
      </w:r>
      <w:r>
        <w:rPr/>
        <w:t>, direction uncertain (</w:t>
      </w:r>
      <w:r>
        <w:rPr>
          <w:rStyle w:val="VerbatimChar"/>
        </w:rPr>
        <w:t>domain-B.md</w:t>
      </w:r>
      <w:r>
        <w:rPr/>
        <w:t>).</w:t>
      </w:r>
    </w:p>
    <w:p>
      <w:pPr>
        <w:pStyle w:val="Compact"/>
        <w:numPr>
          <w:ilvl w:val="0"/>
          <w:numId w:val="1"/>
        </w:numPr>
        <w:rPr/>
      </w:pPr>
      <w:r>
        <w:rPr/>
        <w:t xml:space="preserve">For </w:t>
      </w:r>
      <w:r>
        <w:rPr>
          <w:b/>
          <w:bCs/>
        </w:rPr>
        <w:t>Kell, anti-c, anti-E and mixed antibodies</w:t>
      </w:r>
      <w:r>
        <w:rPr/>
        <w:t xml:space="preserve">, no comparative study of any kind exists — case reports only. </w:t>
      </w:r>
      <w:r>
        <w:rPr>
          <w:b/>
          <w:bCs/>
        </w:rPr>
        <w:t>No direct evidence identified</w:t>
      </w:r>
      <w:r>
        <w:rPr/>
        <w:t xml:space="preserve"> (</w:t>
      </w:r>
      <w:r>
        <w:rPr>
          <w:rStyle w:val="VerbatimChar"/>
        </w:rPr>
        <w:t>domain-C.md</w:t>
      </w:r>
      <w:r>
        <w:rPr/>
        <w:t>).</w:t>
      </w:r>
    </w:p>
    <w:p>
      <w:pPr>
        <w:pStyle w:val="Compact"/>
        <w:numPr>
          <w:ilvl w:val="0"/>
          <w:numId w:val="1"/>
        </w:numPr>
        <w:rPr/>
      </w:pPr>
      <w:r>
        <w:rPr/>
        <w:t xml:space="preserve">A </w:t>
      </w:r>
      <w:r>
        <w:rPr>
          <w:b/>
          <w:bCs/>
        </w:rPr>
        <w:t>necrotising enterocolitis (NEC) signal</w:t>
      </w:r>
      <w:r>
        <w:rPr/>
        <w:t xml:space="preserve"> recurs in retrospective cohorts (adjusted OR up to 31.66 in one study) but the one study designed to separate IVIG’s effect from underlying disease severity (Li et al. 2022, n=1259, PMID 35613867) found no association. </w:t>
      </w:r>
      <w:r>
        <w:rPr>
          <w:b/>
          <w:bCs/>
        </w:rPr>
        <w:t>GRADE: Very low certainty for a causal NEC effect in either direction</w:t>
      </w:r>
      <w:r>
        <w:rPr/>
        <w:t xml:space="preserve"> (</w:t>
      </w:r>
      <w:r>
        <w:rPr>
          <w:rStyle w:val="VerbatimChar"/>
        </w:rPr>
        <w:t>domain-E.md</w:t>
      </w:r>
      <w:r>
        <w:rPr/>
        <w:t>).</w:t>
      </w:r>
    </w:p>
    <w:p>
      <w:pPr>
        <w:pStyle w:val="Compact"/>
        <w:numPr>
          <w:ilvl w:val="0"/>
          <w:numId w:val="1"/>
        </w:numPr>
        <w:rPr/>
      </w:pPr>
      <w:r>
        <w:rPr/>
        <w:t xml:space="preserve">IVIG does </w:t>
      </w:r>
      <w:r>
        <w:rPr>
          <w:b/>
          <w:bCs/>
        </w:rPr>
        <w:t>not</w:t>
      </w:r>
      <w:r>
        <w:rPr/>
        <w:t xml:space="preserve"> appear to increase late anaemia or top-up transfusion requirement above HDN’s own substantial baseline rate. </w:t>
      </w:r>
      <w:r>
        <w:rPr>
          <w:b/>
          <w:bCs/>
        </w:rPr>
        <w:t>GRADE: Low–Moderate certainty of no meaningful increase</w:t>
      </w:r>
      <w:r>
        <w:rPr/>
        <w:t xml:space="preserve"> (</w:t>
      </w:r>
      <w:r>
        <w:rPr>
          <w:rStyle w:val="VerbatimChar"/>
        </w:rPr>
        <w:t>domain-E.md</w:t>
      </w:r>
      <w:r>
        <w:rPr/>
        <w:t>).</w:t>
      </w:r>
    </w:p>
    <w:p>
      <w:pPr>
        <w:pStyle w:val="BlockText"/>
        <w:rPr/>
      </w:pPr>
      <w:r>
        <w:rPr>
          <w:b/>
          <w:bCs/>
        </w:rPr>
        <w:t>Guidance-vs-evidence gap, flagged for the guideline group:</w:t>
      </w:r>
      <w:r>
        <w:rPr/>
        <w:t xml:space="preserve"> AAP 2022 (PMID 35927462/35927519) and a 2022 international expert panel (BJH, DOI 10.1111/bjh.18170) have both explicitly downgraded their IVIG recommendations citing this same null-trial and NEC evidence. NICE CG98 — the document this Trust would otherwise default to — shows no confirmed evidence of having revisited its IVIG recommendation since 2010, despite both international re-evaluations happening in 2022. </w:t>
      </w:r>
      <w:r>
        <w:rPr>
          <w:b/>
          <w:bCs/>
        </w:rPr>
        <w:t>This guideline follows the evidence synthesis above, not NICE CG98’s unrevised wording, on the question of whether IVIG should be considered routine practice; NICE’s specific bilirubin-rate-of-rise trigger is retained below as the operational threshold pending direct verification of NICE’s current evidence base, because a trigger is still needed and no better-evidenced UK-specific threshold exists.</w:t>
      </w:r>
      <w:r>
        <w:rPr/>
        <w:t xml:space="preserve"> See </w:t>
      </w:r>
      <w:r>
        <w:rPr>
          <w:rStyle w:val="VerbatimChar"/>
        </w:rPr>
        <w:t>../03-synthesis/domain-F.md</w:t>
      </w:r>
      <w:r>
        <w:rPr/>
        <w:t xml:space="preserve"> for the full guidance comparison.</w:t>
      </w:r>
    </w:p>
    <w:p>
      <w:pPr>
        <w:pStyle w:val="Normal"/>
        <w:rPr/>
      </w:pPr>
      <w:bookmarkStart w:id="4" w:name="background-and-evidence-summary"/>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__RefHeading___Toc590_3445947287"/>
      <w:bookmarkStart w:id="6" w:name="indications"/>
      <w:bookmarkEnd w:id="5"/>
      <w:r>
        <w:rPr/>
        <w:t>2. Indications</w:t>
      </w:r>
    </w:p>
    <w:p>
      <w:pPr>
        <w:pStyle w:val="FirstParagraph"/>
        <w:rPr/>
      </w:pPr>
      <w:r>
        <w:rPr>
          <w:b/>
          <w:bCs/>
        </w:rPr>
        <w:t>IVIG is NOT indicated as routine or prophylactic treatment for Rh or ABO haemolytic disease under a policy of intensive phototherapy.</w:t>
      </w:r>
      <w:r>
        <w:rPr/>
        <w:t xml:space="preserve"> [Evidence: GRADE Low–Moderate certainty of no benefit in Rh disease; Very low certainty, direction uncertain, in ABO disease.]</w:t>
      </w:r>
    </w:p>
    <w:p>
      <w:pPr>
        <w:pStyle w:val="BodyText"/>
        <w:rPr/>
      </w:pPr>
      <w:r>
        <w:rPr/>
        <w:t xml:space="preserve">IVIG </w:t>
      </w:r>
      <w:r>
        <w:rPr>
          <w:b/>
          <w:bCs/>
        </w:rPr>
        <w:t>may be considered</w:t>
      </w:r>
      <w:r>
        <w:rPr/>
        <w:t>, on individual clinical judgement rather than as an automatic protocol trigger, in:</w:t>
      </w:r>
    </w:p>
    <w:p>
      <w:pPr>
        <w:pStyle w:val="Compact"/>
        <w:numPr>
          <w:ilvl w:val="0"/>
          <w:numId w:val="6"/>
        </w:numPr>
        <w:rPr/>
      </w:pPr>
      <w:r>
        <w:rPr>
          <w:b/>
          <w:bCs/>
        </w:rPr>
        <w:t>Rh-D disease</w:t>
      </w:r>
      <w:r>
        <w:rPr/>
        <w:t xml:space="preserve"> (DAT-positive) with bilirubin rising toward the exchange-transfusion threshold </w:t>
      </w:r>
      <w:r>
        <w:rPr>
          <w:b/>
          <w:bCs/>
        </w:rPr>
        <w:t>despite adequate intensive phototherapy</w:t>
      </w:r>
      <w:r>
        <w:rPr/>
        <w:t>, particularly where exchange transfusion is not immediately available or would itself be delayed. [Guidance/consensus — AAP 2022, BSH 2016, converges with the international 2022 expert panel’s narrower “near-exchange-threshold” carve-out; NOT supported by the two best RCTs as a routine measure, but not excluded as a bridging measure when exchange is delayed.]</w:t>
      </w:r>
    </w:p>
    <w:p>
      <w:pPr>
        <w:pStyle w:val="Compact"/>
        <w:numPr>
          <w:ilvl w:val="0"/>
          <w:numId w:val="7"/>
        </w:numPr>
        <w:rPr/>
      </w:pPr>
      <w:r>
        <w:rPr>
          <w:b/>
          <w:bCs/>
        </w:rPr>
        <w:t>ABO disease</w:t>
      </w:r>
      <w:r>
        <w:rPr/>
        <w:t xml:space="preserve"> (DAT-positive) under the same “bridging to exchange” logic — with the explicit caveat that the evidentiary case here is weaker than for Rh disease. [Guidance/consensus only; GRADE Very low for any efficacy claim.]</w:t>
      </w:r>
    </w:p>
    <w:p>
      <w:pPr>
        <w:pStyle w:val="FirstParagraph"/>
        <w:rPr/>
      </w:pPr>
      <w:r>
        <w:rPr>
          <w:b/>
          <w:bCs/>
        </w:rPr>
        <w:t>IVIG is NOT indicated:</w:t>
      </w:r>
      <w:r>
        <w:rPr/>
        <w:t xml:space="preserve"> - As a substitute for exchange transfusion where exchange transfusion is clinically indicated and available — </w:t>
      </w:r>
      <w:r>
        <w:rPr>
          <w:b/>
          <w:bCs/>
        </w:rPr>
        <w:t>IVIG must never delay a clinically indicated exchange transfusion.</w:t>
      </w:r>
      <w:r>
        <w:rPr/>
        <w:t xml:space="preserve"> [This specific statement is supported by guidance — BSH 2016 frames IVIG’s role explicitly around delay/unavailability of exchange, not as an alternative to it — and is consistent with this review’s finding that IVIG’s efficacy evidence does not survive rigorous testing; it is not itself derived from a trial that compared “IVIG instead of indicated exchange” against exchange.] - In DAT-negative ABO disease as a matter of extrapolated routine practice — </w:t>
      </w:r>
      <w:r>
        <w:rPr>
          <w:b/>
          <w:bCs/>
        </w:rPr>
        <w:t>no direct evidence exists for this subgroup at all</w:t>
      </w:r>
      <w:r>
        <w:rPr/>
        <w:t xml:space="preserve"> (</w:t>
      </w:r>
      <w:r>
        <w:rPr>
          <w:rStyle w:val="VerbatimChar"/>
        </w:rPr>
        <w:t>domain-B.md</w:t>
      </w:r>
      <w:r>
        <w:rPr/>
        <w:t xml:space="preserve"> (d)); treat as a distinct unknown, not as “probably like DAT-positive ABO disease.” - Routinely in Kell, anti-c, anti-E or other non-D/non-ABO alloimmune disease — </w:t>
      </w:r>
      <w:r>
        <w:rPr>
          <w:b/>
          <w:bCs/>
        </w:rPr>
        <w:t>no comparative evidence exists</w:t>
      </w:r>
      <w:r>
        <w:rPr/>
        <w:t xml:space="preserve"> (</w:t>
      </w:r>
      <w:r>
        <w:rPr>
          <w:rStyle w:val="VerbatimChar"/>
        </w:rPr>
        <w:t>domain-C.md</w:t>
      </w:r>
      <w:r>
        <w:rPr/>
        <w:t xml:space="preserve">). For Kell disease specifically, the mechanism (erythroid suppression, not haemolysis — </w:t>
      </w:r>
      <w:r>
        <w:rPr>
          <w:rStyle w:val="VerbatimChar"/>
        </w:rPr>
        <w:t>00-mechanism.md</w:t>
      </w:r>
      <w:r>
        <w:rPr/>
        <w:t>) makes IVIG a poor biological fit; erythropoietin/iron/transfusion support is more mechanistically coherent, though this is an inference from mechanism, not a trial finding. - As prophylaxis irrespective of bilirubin trajectory — the two trials that tested this approach (A6, A7) were both null.</w:t>
      </w:r>
    </w:p>
    <w:p>
      <w:pPr>
        <w:pStyle w:val="Normal"/>
        <w:rPr/>
      </w:pPr>
      <w:bookmarkStart w:id="7" w:name="indication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2"/>
        <w:rPr/>
      </w:pPr>
      <w:bookmarkStart w:id="8" w:name="__RefHeading___Toc592_3445947287"/>
      <w:bookmarkStart w:id="9" w:name="when-to-give-thresholds"/>
      <w:bookmarkEnd w:id="8"/>
      <w:r>
        <w:rPr/>
        <w:t>3. When to give — thresholds</w:t>
      </w:r>
    </w:p>
    <w:p>
      <w:pPr>
        <w:pStyle w:val="FirstParagraph"/>
        <w:rPr/>
      </w:pPr>
      <w:r>
        <w:rPr>
          <w:b/>
          <w:bCs/>
        </w:rPr>
        <w:t>Trigger (retained from NICE CG98, pending direct verification — see status box above):</w:t>
      </w:r>
      <w:r>
        <w:rPr/>
        <w:t xml:space="preserve"> total serum bilirubin (SBR) continuing to rise by </w:t>
      </w:r>
      <w:r>
        <w:rPr>
          <w:b/>
          <w:bCs/>
        </w:rPr>
        <w:t>more than 8.5 µmol/L/hour</w:t>
      </w:r>
      <w:r>
        <w:rPr/>
        <w:t xml:space="preserve"> despite intensive (multiple-light, continuous) phototherapy, in a DAT-positive infant with confirmed or strongly suspected Rh or ABO alloimmune haemolysis, </w:t>
      </w:r>
      <w:r>
        <w:rPr>
          <w:b/>
          <w:bCs/>
        </w:rPr>
        <w:t>and</w:t>
      </w:r>
      <w:r>
        <w:rPr/>
        <w:t xml:space="preserve"> approaching the unit’s exchange-transfusion threshold on the appropriate NICE treatment-threshold graph for gestation.</w:t>
      </w:r>
    </w:p>
    <w:p>
      <w:pPr>
        <w:pStyle w:val="BodyText"/>
        <w:rPr/>
      </w:pPr>
      <w:r>
        <w:rPr>
          <w:b/>
          <w:bCs/>
        </w:rPr>
        <w:t>Comparator threshold used in the highest-directness RCT (Santos et al. 2012, Brazil):</w:t>
      </w:r>
      <w:r>
        <w:rPr/>
        <w:t xml:space="preserve"> SBR ≥340 µmol/L (20 mg/dL) OR rising ≥8.5 µmol/L/hour (0.5 mg/dL/hour) despite intensive phototherapy — numerically identical rate-of-rise trigger to NICE, offered here as the closest trial-tested analogue to the NICE wording, </w:t>
      </w:r>
      <w:r>
        <w:rPr>
          <w:b/>
          <w:bCs/>
        </w:rPr>
        <w:t>though the trial itself was null using this trigger</w:t>
      </w:r>
      <w:r>
        <w:rPr/>
        <w:t>, i.e. meeting this threshold and giving IVIG did not, in that trial, reduce exchange transfusion.</w:t>
      </w:r>
    </w:p>
    <w:p>
      <w:pPr>
        <w:pStyle w:val="BodyText"/>
        <w:rPr/>
      </w:pPr>
      <w:r>
        <w:rPr>
          <w:b/>
          <w:bCs/>
        </w:rPr>
        <w:t>Before treating, confirm:</w:t>
      </w:r>
      <w:r>
        <w:rPr/>
        <w:t xml:space="preserve"> 1. The infant is genuinely approaching the exchange-transfusion threshold on the gestation-appropriate NICE graph, not merely the phototherapy threshold. 2. Exchange transfusion preparation should run in parallel, not be deferred pending IVIG response — </w:t>
      </w:r>
      <w:r>
        <w:rPr>
          <w:b/>
          <w:bCs/>
        </w:rPr>
        <w:t>IVIG must not delay exchange transfusion where exchange is indicated.</w:t>
      </w:r>
      <w:r>
        <w:rPr/>
        <w:t xml:space="preserve"> 3. DAT positivity and antibody identification are documented (see checklist, §4).</w:t>
      </w:r>
    </w:p>
    <w:p>
      <w:pPr>
        <w:pStyle w:val="BodyText"/>
        <w:rPr/>
      </w:pPr>
      <w:r>
        <w:rPr>
          <w:b/>
          <w:bCs/>
        </w:rPr>
        <w:t>Prophylactic vs rescue:</w:t>
      </w:r>
      <w:r>
        <w:rPr/>
        <w:t xml:space="preserve"> this guideline does </w:t>
      </w:r>
      <w:r>
        <w:rPr>
          <w:b/>
          <w:bCs/>
        </w:rPr>
        <w:t>not</w:t>
      </w:r>
      <w:r>
        <w:rPr/>
        <w:t xml:space="preserve"> recommend prophylactic IVIG irrespective of bilirubin trajectory (the two RCTs testing this were null). Use is reserved for the rescue/bridging scenario above. [GRADE: neither strategy has trial-quality support under modern phototherapy — see </w:t>
      </w:r>
      <w:r>
        <w:rPr>
          <w:rStyle w:val="VerbatimChar"/>
        </w:rPr>
        <w:t>cross-cutting.md</w:t>
      </w:r>
      <w:r>
        <w:rPr/>
        <w:t xml:space="preserve"> §2 — this is a guidance/consensus position, not an evidence-proven one.]</w:t>
      </w:r>
    </w:p>
    <w:p>
      <w:pPr>
        <w:pStyle w:val="BlockText"/>
        <w:rPr/>
      </w:pPr>
      <w:r>
        <w:rPr>
          <w:b/>
          <w:bCs/>
        </w:rPr>
        <w:t>Verification note for the guideline group:</w:t>
      </w:r>
      <w:r>
        <w:rPr/>
        <w:t xml:space="preserve"> the NICE 8.5 µmol/L/hour trigger could not be independently re-confirmed against the primary NICE CG98 document this session (network access blocked); it is retained here because it is the current UK reference point and because an operational trigger is needed, not because this review found new evidence supporting it. Obtain and check NICE CG98’s current recommendation text directly before ratifying this section.</w:t>
      </w:r>
    </w:p>
    <w:p>
      <w:pPr>
        <w:pStyle w:val="Normal"/>
        <w:rPr/>
      </w:pPr>
      <w:bookmarkStart w:id="10" w:name="when-to-give-threshold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pPr>
      <w:bookmarkStart w:id="11" w:name="__RefHeading___Toc594_3445947287"/>
      <w:bookmarkStart w:id="12" w:name="pre-ivig-checklist"/>
      <w:bookmarkEnd w:id="11"/>
      <w:r>
        <w:rPr/>
        <w:t>4. Pre-IVIG checklist</w:t>
      </w:r>
    </w:p>
    <w:p>
      <w:pPr>
        <w:pStyle w:val="Compact"/>
        <w:numPr>
          <w:ilvl w:val="0"/>
          <w:numId w:val="8"/>
        </w:numPr>
        <w:rPr/>
      </w:pPr>
      <w:r>
        <w:rPr/>
        <w:t xml:space="preserve">☐ </w:t>
      </w:r>
      <w:r>
        <w:rPr/>
        <w:t>Maternal antibody identified and titre documented (Rh-D, other Rh, ABO, or other)</w:t>
      </w:r>
    </w:p>
    <w:p>
      <w:pPr>
        <w:pStyle w:val="Compact"/>
        <w:numPr>
          <w:ilvl w:val="0"/>
          <w:numId w:val="9"/>
        </w:numPr>
        <w:rPr/>
      </w:pPr>
      <w:r>
        <w:rPr/>
        <w:t xml:space="preserve">☐ </w:t>
      </w:r>
      <w:r>
        <w:rPr/>
        <w:t xml:space="preserve">Infant blood group and DAT (direct antiglobulin test) confirmed — </w:t>
      </w:r>
      <w:r>
        <w:rPr>
          <w:b/>
          <w:bCs/>
        </w:rPr>
        <w:t>DAT-negative ABO disease has no direct efficacy evidence for IVIG; document this explicitly if proceeding on clinical judgement alone</w:t>
      </w:r>
    </w:p>
    <w:p>
      <w:pPr>
        <w:pStyle w:val="Compact"/>
        <w:numPr>
          <w:ilvl w:val="0"/>
          <w:numId w:val="10"/>
        </w:numPr>
        <w:rPr/>
      </w:pPr>
      <w:r>
        <w:rPr/>
        <w:t xml:space="preserve">☐ </w:t>
      </w:r>
      <w:r>
        <w:rPr/>
        <w:t>Haemoglobin, reticulocyte count, blood film reviewed (exclude/consider non-immune causes of haemolysis — G6PD deficiency, spherocytosis — which are out of scope for this guideline)</w:t>
      </w:r>
    </w:p>
    <w:p>
      <w:pPr>
        <w:pStyle w:val="Compact"/>
        <w:numPr>
          <w:ilvl w:val="0"/>
          <w:numId w:val="11"/>
        </w:numPr>
        <w:rPr/>
      </w:pPr>
      <w:r>
        <w:rPr/>
        <w:t xml:space="preserve">☐ </w:t>
      </w:r>
      <w:r>
        <w:rPr/>
        <w:t xml:space="preserve">Confirm the infant is on </w:t>
      </w:r>
      <w:r>
        <w:rPr>
          <w:b/>
          <w:bCs/>
        </w:rPr>
        <w:t>intensive</w:t>
      </w:r>
      <w:r>
        <w:rPr/>
        <w:t xml:space="preserve"> (multiple-light, continuous) phototherapy, not single-light — the trials showing no benefit specifically tested IVIG as an </w:t>
      </w:r>
      <w:r>
        <w:rPr>
          <w:i/>
          <w:iCs/>
        </w:rPr>
        <w:t>adjunct to</w:t>
      </w:r>
      <w:r>
        <w:rPr/>
        <w:t xml:space="preserve"> intensive phototherapy, not as a substitute for optimising phototherapy first</w:t>
      </w:r>
    </w:p>
    <w:p>
      <w:pPr>
        <w:pStyle w:val="Compact"/>
        <w:numPr>
          <w:ilvl w:val="0"/>
          <w:numId w:val="12"/>
        </w:numPr>
        <w:rPr/>
      </w:pPr>
      <w:r>
        <w:rPr/>
        <w:t xml:space="preserve">☐ </w:t>
      </w:r>
      <w:r>
        <w:rPr/>
        <w:t xml:space="preserve">Cross-match and exchange-transfusion preparation initiated in parallel if bilirubin is approaching the exchange threshold — </w:t>
      </w:r>
      <w:r>
        <w:rPr>
          <w:b/>
          <w:bCs/>
        </w:rPr>
        <w:t>do not wait for IVIG response before preparing for exchange</w:t>
      </w:r>
    </w:p>
    <w:p>
      <w:pPr>
        <w:pStyle w:val="Compact"/>
        <w:numPr>
          <w:ilvl w:val="0"/>
          <w:numId w:val="13"/>
        </w:numPr>
        <w:rPr/>
      </w:pPr>
      <w:r>
        <w:rPr/>
        <w:t xml:space="preserve">☐ </w:t>
      </w:r>
      <w:r>
        <w:rPr/>
        <w:t xml:space="preserve">NHS England Clinical Commissioning Criteria for Immunoglobulin — confirm current requirement for Immunoglobulin Assessment Panel approval and National Immunoglobulin Database (NID) outcome recording for this indication before/at time of administration </w:t>
      </w:r>
      <w:r>
        <w:rPr>
          <w:b/>
          <w:bCs/>
        </w:rPr>
        <w:t xml:space="preserve">(this review could not confirm HDFN’s current specific priority classification under the 2025 NHS England edition — resolve locally before ratification; see </w:t>
      </w:r>
      <w:r>
        <w:rPr>
          <w:rStyle w:val="VerbatimChar"/>
          <w:b/>
          <w:bCs/>
        </w:rPr>
        <w:t>domain-F.md</w:t>
      </w:r>
      <w:r>
        <w:rPr>
          <w:b/>
          <w:bCs/>
        </w:rPr>
        <w:t xml:space="preserve"> (b))</w:t>
      </w:r>
    </w:p>
    <w:p>
      <w:pPr>
        <w:pStyle w:val="Compact"/>
        <w:numPr>
          <w:ilvl w:val="0"/>
          <w:numId w:val="14"/>
        </w:numPr>
        <w:rPr/>
      </w:pPr>
      <w:r>
        <w:rPr/>
        <w:t xml:space="preserve">☐ </w:t>
      </w:r>
      <w:r>
        <w:rPr/>
        <w:t xml:space="preserve">Off-label use documented and consultant-authorised — </w:t>
      </w:r>
      <w:r>
        <w:rPr>
          <w:b/>
          <w:bCs/>
        </w:rPr>
        <w:t>HDFN is not a licensed indication on UK IVIG product SPCs</w:t>
      </w:r>
      <w:r>
        <w:rPr/>
        <w:t xml:space="preserve"> (Privigen, KIOVIG checked; both licensed for immunodeficiency/immunomodulation indications, not HDFN) — standard Trust off-label medicines governance applies</w:t>
      </w:r>
    </w:p>
    <w:p>
      <w:pPr>
        <w:pStyle w:val="Compact"/>
        <w:numPr>
          <w:ilvl w:val="0"/>
          <w:numId w:val="15"/>
        </w:numPr>
        <w:rPr/>
      </w:pPr>
      <w:r>
        <w:rPr/>
        <w:t xml:space="preserve">☐ </w:t>
      </w:r>
      <w:r>
        <w:rPr/>
        <w:t xml:space="preserve">Parent information given and consent/assent process followed (see parent-facing points, </w:t>
      </w:r>
      <w:r>
        <w:rPr>
          <w:rStyle w:val="VerbatimChar"/>
        </w:rPr>
        <w:t>parent-summary-points.md</w:t>
      </w:r>
      <w:r>
        <w:rPr/>
        <w:t>)</w:t>
      </w:r>
    </w:p>
    <w:p>
      <w:pPr>
        <w:pStyle w:val="Compact"/>
        <w:numPr>
          <w:ilvl w:val="0"/>
          <w:numId w:val="16"/>
        </w:numPr>
        <w:rPr/>
      </w:pPr>
      <w:r>
        <w:rPr/>
        <w:t xml:space="preserve">☐ </w:t>
      </w:r>
      <w:r>
        <w:rPr/>
        <w:t>Baseline full blood count and DAT taken before dosing, to distinguish any post-dose change from IVIG’s own isoagglutinin effect (§6)</w:t>
      </w:r>
    </w:p>
    <w:p>
      <w:pPr>
        <w:pStyle w:val="Normal"/>
        <w:rPr/>
      </w:pPr>
      <w:bookmarkStart w:id="13" w:name="pre-ivig-checklist"/>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p>
    <w:p>
      <w:pPr>
        <w:pStyle w:val="Heading2"/>
        <w:rPr/>
      </w:pPr>
      <w:bookmarkStart w:id="14" w:name="__RefHeading___Toc596_3445947287"/>
      <w:bookmarkStart w:id="15" w:name="dose-product-administration"/>
      <w:bookmarkEnd w:id="14"/>
      <w:r>
        <w:rPr/>
        <w:t>5. Dose, product, administration</w:t>
      </w:r>
    </w:p>
    <w:p>
      <w:pPr>
        <w:pStyle w:val="FirstParagraph"/>
        <w:rPr/>
      </w:pPr>
      <w:r>
        <w:rPr>
          <w:b/>
          <w:bCs/>
        </w:rPr>
        <w:t>Dose:</w:t>
      </w:r>
      <w:r>
        <w:rPr/>
        <w:t xml:space="preserve"> 0.5–1 g/kg as a single dose. [Evidence base: doses used in trials ranged 500 mg/kg (Rübo, Dağoğlu, Santos) to 0.75 g/kg (Leiden) to 1 g/kg (Alpay); the one head-to-head dose-comparison trial (Elalfy et al. 2010, PMID 20924607) found 1 g/kg numerically more effective than 0.5 g/kg at avoiding exchange transfusion, corroborated directionally by a 10-RCT dose meta-analysis (Peto OR 0.24, 95% CI 0.12–0.50 favouring higher dose) — </w:t>
      </w:r>
      <w:r>
        <w:rPr>
          <w:b/>
          <w:bCs/>
        </w:rPr>
        <w:t>GRADE: Low certainty that higher dose is more effective</w:t>
      </w:r>
      <w:r>
        <w:rPr/>
        <w:t>, both analyses drawn substantially from high-risk-of-bias trials (</w:t>
      </w:r>
      <w:r>
        <w:rPr>
          <w:rStyle w:val="VerbatimChar"/>
        </w:rPr>
        <w:t>domain-D.md</w:t>
      </w:r>
      <w:r>
        <w:rPr/>
        <w:t xml:space="preserve"> (e)).]</w:t>
      </w:r>
    </w:p>
    <w:p>
      <w:pPr>
        <w:pStyle w:val="BodyText"/>
        <w:rPr/>
      </w:pPr>
      <w:r>
        <w:rPr>
          <w:b/>
          <w:bCs/>
        </w:rPr>
        <w:t>Repeat dosing:</w:t>
      </w:r>
      <w:r>
        <w:rPr/>
        <w:t xml:space="preserve"> may repeat once at 12 hours if bilirubin continues to rise (per AAP 2022/current CPS wording). </w:t>
      </w:r>
      <w:r>
        <w:rPr>
          <w:b/>
          <w:bCs/>
        </w:rPr>
        <w:t>GRADE: Very low certainty of benefit from repeat dosing</w:t>
      </w:r>
      <w:r>
        <w:rPr/>
        <w:t xml:space="preserve"> — one small unblinded 3-arm trial (Tanyer et al. 2001, n=61) found a dose-frequency gradient (0% multiple-dose vs 12% single-dose vs 33% no-IVIG exchange transfusion) but this is not replicated (</w:t>
      </w:r>
      <w:r>
        <w:rPr>
          <w:rStyle w:val="VerbatimChar"/>
        </w:rPr>
        <w:t>domain-D.md</w:t>
      </w:r>
      <w:r>
        <w:rPr/>
        <w:t xml:space="preserve"> (e)). </w:t>
      </w:r>
      <w:r>
        <w:rPr>
          <w:b/>
          <w:bCs/>
        </w:rPr>
        <w:t>No direct evidence identified for optimal repeat-dose interval</w:t>
      </w:r>
      <w:r>
        <w:rPr/>
        <w:t xml:space="preserve"> beyond the 12-hour figure used in guidance documents.</w:t>
      </w:r>
    </w:p>
    <w:p>
      <w:pPr>
        <w:pStyle w:val="BodyText"/>
        <w:rPr/>
      </w:pPr>
      <w:r>
        <w:rPr>
          <w:b/>
          <w:bCs/>
        </w:rPr>
        <w:t>Cumulative dose caution:</w:t>
      </w:r>
      <w:r>
        <w:rPr/>
        <w:t xml:space="preserve"> the (largely adult) isoagglutinin-haemolysis vigilance literature (Desborough et al. 2013, PMID 24164446) found 97% of reported haemolysis cases occurred at cumulative doses </w:t>
      </w:r>
      <w:r>
        <w:rPr>
          <w:b/>
          <w:bCs/>
        </w:rPr>
        <w:t>≥2 g/kg</w:t>
      </w:r>
      <w:r>
        <w:rPr/>
        <w:t>. A single dose plus one repeat at 0.5–1 g/kg each stays at or below this threshold; going beyond two doses should prompt closer haemolysis monitoring (§6).</w:t>
      </w:r>
    </w:p>
    <w:p>
      <w:pPr>
        <w:pStyle w:val="BodyText"/>
        <w:rPr/>
      </w:pPr>
      <w:r>
        <w:rPr>
          <w:b/>
          <w:bCs/>
        </w:rPr>
        <w:t>Infusion duration:</w:t>
      </w:r>
      <w:r>
        <w:rPr/>
        <w:t xml:space="preserve"> trial-reported durations cluster at 2–4 hours (Rübo: 2h; Nasseri: 4h per dose; Alpay: 4h) — descriptive of what was used, not tested against alternatives. Guidance documents specify 2 hours (AAP, current CPS) or 4 hours (NICE/BSH-linked UK material). </w:t>
      </w:r>
      <w:r>
        <w:rPr>
          <w:b/>
          <w:bCs/>
        </w:rPr>
        <w:t>This guideline specifies infusion over 2–4 hours per the product SPC actually stocked at each site — verify against the current in-force SPC before ratification (this review’s SPC access was blocked; figures below are WebSearch-derived and unconfirmed).</w:t>
      </w:r>
    </w:p>
    <w:p>
      <w:pPr>
        <w:pStyle w:val="BodyText"/>
        <w:rPr/>
      </w:pPr>
      <w:r>
        <w:rPr>
          <w:b/>
          <w:bCs/>
        </w:rPr>
        <w:t>Product/infusion-rate example (Privigen 100 mg/mL — VERIFY LOCALLY, not independently confirmed this session):</w:t>
      </w:r>
      <w:r>
        <w:rPr/>
        <w:t xml:space="preserve"> initial rate approximately 0.5 mg/kg/min, increased gradually if tolerated to a maximum of approximately 8 mg/kg/min. </w:t>
      </w:r>
      <w:r>
        <w:rPr>
          <w:b/>
          <w:bCs/>
        </w:rPr>
        <w:t>KIOVIG example (also unconfirmed this session):</w:t>
      </w:r>
      <w:r>
        <w:rPr/>
        <w:t xml:space="preserve"> initial rate 0.5 mL/kg/hour for 30 minutes, increasing to a maximum of 6 mL/kg/hour if tolerated. Use whichever product is actually stocked and its own current SPC for the exact schedule — do not use these figures without direct SPC verification.</w:t>
      </w:r>
    </w:p>
    <w:p>
      <w:pPr>
        <w:pStyle w:val="BodyText"/>
        <w:rPr/>
      </w:pPr>
      <w:r>
        <w:rPr>
          <w:b/>
          <w:bCs/>
        </w:rPr>
        <w:t>Line compatibility and fluid volume:</w:t>
      </w:r>
      <w:r>
        <w:rPr/>
        <w:t xml:space="preserve"> standard IVIG administration precautions apply (dedicated line where possible, no mixing with other infusates unless the SPC confirms compatibility); account for the infusion volume in the infant’s total fluid allowance for the day, particularly in a growth-restricted or fluid-restricted infant.</w:t>
      </w:r>
    </w:p>
    <w:p>
      <w:pPr>
        <w:pStyle w:val="Normal"/>
        <w:rPr/>
      </w:pPr>
      <w:bookmarkStart w:id="16" w:name="dose-product-administration"/>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p>
    <w:p>
      <w:pPr>
        <w:pStyle w:val="Heading2"/>
        <w:rPr/>
      </w:pPr>
      <w:bookmarkStart w:id="17" w:name="__RefHeading___Toc598_3445947287"/>
      <w:bookmarkStart w:id="18" w:name="monitoring"/>
      <w:bookmarkEnd w:id="17"/>
      <w:r>
        <w:rPr/>
        <w:t>6. Monitoring</w:t>
      </w:r>
    </w:p>
    <w:p>
      <w:pPr>
        <w:pStyle w:val="FirstParagraph"/>
        <w:rPr/>
      </w:pPr>
      <w:r>
        <w:rPr>
          <w:b/>
          <w:bCs/>
        </w:rPr>
        <w:t>During infusion:</w:t>
      </w:r>
      <w:r>
        <w:rPr/>
        <w:t xml:space="preserve"> continuous observation for infusion reactions (hypotension, apnoea, flushing) per standard IVIG administration protocol. Direct RCT evidence in this population is reassuring — no drug-attributable adverse events were reported in the two null RCTs (Santos 2012, Miqdad 2004) or a small repeat-dosing case series (Zheng 2023) — but none of these studies was powered to detect a rare event, so standard vigilance still applies. One small series (Vardar 2022, n=63) reported apnoea in 1/63 (1.6%) infants.</w:t>
      </w:r>
    </w:p>
    <w:p>
      <w:pPr>
        <w:pStyle w:val="BodyText"/>
        <w:rPr/>
      </w:pPr>
      <w:r>
        <w:rPr>
          <w:b/>
          <w:bCs/>
        </w:rPr>
        <w:t>SBR timing after IVIG:</w:t>
      </w:r>
      <w:r>
        <w:rPr/>
        <w:t xml:space="preserve"> recheck per standard intensive-phototherapy monitoring frequency; IVIG response (or non-response) should not delay a pre-planned exchange-transfusion decision point.</w:t>
      </w:r>
    </w:p>
    <w:p>
      <w:pPr>
        <w:pStyle w:val="BodyText"/>
        <w:rPr/>
      </w:pPr>
      <w:r>
        <w:rPr>
          <w:b/>
          <w:bCs/>
        </w:rPr>
        <w:t>Haemolysis/isoagglutinin monitoring:</w:t>
      </w:r>
      <w:r>
        <w:rPr/>
        <w:t xml:space="preserve"> IVIG products contain residual donor anti-A/anti-B isoagglutinins that can passively coat the infant’s own red cells and cause a </w:t>
      </w:r>
      <w:r>
        <w:rPr>
          <w:i/>
          <w:iCs/>
        </w:rPr>
        <w:t>positive direct antiglobulin (Coombs) test unrelated to the underlying alloimmune disease</w:t>
      </w:r>
      <w:r>
        <w:rPr/>
        <w:t xml:space="preserve">, and — rarely — clinically significant haemolysis. </w:t>
      </w:r>
      <w:r>
        <w:rPr>
          <w:b/>
          <w:bCs/>
        </w:rPr>
        <w:t>Take a full blood count, reticulocyte count and DAT before and after dosing</w:t>
      </w:r>
      <w:r>
        <w:rPr/>
        <w:t xml:space="preserve"> to distinguish a genuine deterioration from this iatrogenic effect. </w:t>
      </w:r>
      <w:r>
        <w:rPr>
          <w:b/>
          <w:bCs/>
        </w:rPr>
        <w:t>Blood-bank operational point:</w:t>
      </w:r>
      <w:r>
        <w:rPr/>
        <w:t xml:space="preserve"> a positive cross-match by standard gel-card technique after IVIG may reflect IVIG-induced isoagglutinin coating rather than true incompatibility — a tube-method cross-match can resolve this if a top-up transfusion is needed shortly after IVIG (Ling et al. 2026, PMID 41543094, laboratory study in neonates, not HDFN-specific — indirect but mechanistically direct evidence). [GRADE: Very low certainty for a quantified neonatal-HDFN-specific incidence — mechanism well-established, incidence data largely adult (</w:t>
      </w:r>
      <w:r>
        <w:rPr>
          <w:rStyle w:val="VerbatimChar"/>
        </w:rPr>
        <w:t>domain-E.md</w:t>
      </w:r>
      <w:r>
        <w:rPr/>
        <w:t>).]</w:t>
      </w:r>
    </w:p>
    <w:p>
      <w:pPr>
        <w:pStyle w:val="BodyText"/>
        <w:rPr/>
      </w:pPr>
      <w:r>
        <w:rPr>
          <w:b/>
          <w:bCs/>
        </w:rPr>
        <w:t>NEC surveillance:</w:t>
      </w:r>
      <w:r>
        <w:rPr/>
        <w:t xml:space="preserve"> enhanced monitoring for feed intolerance and abdominal signs (distension, bilious aspirates, blood in stool) for at least the </w:t>
      </w:r>
      <w:r>
        <w:rPr>
          <w:b/>
          <w:bCs/>
        </w:rPr>
        <w:t>first 24–48 hours post-infusion</w:t>
      </w:r>
      <w:r>
        <w:rPr/>
        <w:t xml:space="preserve">, given the short latency to onset reported in the case-report literature (as short as 10 hours in one case). [GRADE: Very low certainty for a causal NEC effect — see §1 — but the biological plausibility (thrombotic mesenteric microvascular occlusion, histopathologically demonstrated in one case series) and the consistency of a signal across three decades and multiple countries justify precautionary monitoring even though causality is unproven.] </w:t>
      </w:r>
      <w:r>
        <w:rPr>
          <w:b/>
          <w:bCs/>
        </w:rPr>
        <w:t>This surveillance recommendation applies regardless of gestation or birthweight</w:t>
      </w:r>
      <w:r>
        <w:rPr/>
        <w:t>, since Domain E’s evidence base spans late-preterm to term infants and no data distinguish risk by maturity within that range.</w:t>
      </w:r>
    </w:p>
    <w:p>
      <w:pPr>
        <w:pStyle w:val="BodyText"/>
        <w:rPr/>
      </w:pPr>
      <w:r>
        <w:rPr>
          <w:b/>
          <w:bCs/>
        </w:rPr>
        <w:t>Late anaemia / post-discharge:</w:t>
      </w:r>
      <w:r>
        <w:rPr/>
        <w:t xml:space="preserve"> post-discharge haemoglobin and reticulocyte surveillance should be recommended for </w:t>
      </w:r>
      <w:r>
        <w:rPr>
          <w:b/>
          <w:bCs/>
        </w:rPr>
        <w:t>all</w:t>
      </w:r>
      <w:r>
        <w:rPr/>
        <w:t xml:space="preserve"> HDN infants with significant haemolysis or a history of intrauterine transfusion, </w:t>
      </w:r>
      <w:r>
        <w:rPr>
          <w:b/>
          <w:bCs/>
        </w:rPr>
        <w:t>irrespective of whether they received IVIG</w:t>
      </w:r>
      <w:r>
        <w:rPr/>
        <w:t xml:space="preserve"> — this is a disease-based, not an IVIG-based, monitoring recommendation. [GRADE: Low–Moderate certainty that IVIG itself does not increase this risk — the two highest-directness RCTs found no significant difference in top-up transfusion rates between IVIG and placebo arms.] No specific evidence-based schedule/duration for this surveillance was identified in this review (this is a guidance/local-protocol matter, not answered by the trial evidence retrieved); use existing unit/network post-HDFN follow-up protocols.</w:t>
      </w:r>
    </w:p>
    <w:p>
      <w:pPr>
        <w:pStyle w:val="BodyText"/>
        <w:rPr/>
      </w:pPr>
      <w:r>
        <w:rPr>
          <w:b/>
          <w:bCs/>
        </w:rPr>
        <w:t>Thromboembolism, hyperviscosity, infection transmission:</w:t>
      </w:r>
      <w:r>
        <w:rPr/>
        <w:t xml:space="preserve"> </w:t>
      </w:r>
      <w:r>
        <w:rPr>
          <w:b/>
          <w:bCs/>
        </w:rPr>
        <w:t>no direct evidence identified</w:t>
      </w:r>
      <w:r>
        <w:rPr/>
        <w:t xml:space="preserve"> for neonatal-HDFN-specific incidence of any of these. No specific additional monitoring beyond standard neonatal vital-sign observation is supported by direct evidence; this absence should not be read as reassurance of safety, only as an absence of data.</w:t>
      </w:r>
    </w:p>
    <w:p>
      <w:pPr>
        <w:pStyle w:val="Normal"/>
        <w:rPr/>
      </w:pPr>
      <w:bookmarkStart w:id="19" w:name="monitoring"/>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rPr/>
      </w:pPr>
      <w:bookmarkStart w:id="20" w:name="__RefHeading___Toc600_3445947287"/>
      <w:bookmarkStart w:id="21" w:name="risks-and-their-management"/>
      <w:bookmarkEnd w:id="20"/>
      <w:r>
        <w:rPr/>
        <w:t>7. Risks and their management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Risk</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status</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Management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reduction in exchange transfusion need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Low–Moderate certainty (Rh); Very low (ABO) — i.e. IVIG may simply not work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 not delay or omit exchange transfusion preparation while awaiting IVIG response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Necrotising enterocolitis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low certainty for causation; biologically plausible mechanism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feed/abdominal monitoring for 24–48h post-infusion; escalate promptly on any suspicion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Isoagglutinin-mediated haemolysis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Mechanism established; neonatal incidence not quantified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Pre/post FBC, reticulocytes, DAT; tube-method cross-match if top-up transfusion needed soon after IVIG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Infusion reactions (hypotension, apnoea)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Uncommon in the direct evidence (1/63 in one series)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continuous observation during infusion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Thromboembolism/hyperviscosity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direct evidence; extrapolated general-population labelling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vigilance; no HDFN-specific protocol supported by evidence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 anaemia/top-up transfusion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increased by IVIG above HDN’s own baseline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Routine post-HDN surveillance regardless of IVIG use</w:t>
            </w:r>
          </w:p>
        </w:tc>
      </w:tr>
    </w:tbl>
    <w:p>
      <w:pPr>
        <w:pStyle w:val="BodyText"/>
        <w:rPr/>
      </w:pPr>
      <w:r>
        <w:rPr>
          <w:b/>
          <w:bCs/>
        </w:rPr>
        <w:t xml:space="preserve">Parent-facing wording (plain-English basis; full leaflet points in </w:t>
      </w:r>
      <w:r>
        <w:rPr>
          <w:rStyle w:val="VerbatimChar"/>
          <w:b/>
          <w:bCs/>
        </w:rPr>
        <w:t>parent-summary-points.md</w:t>
      </w:r>
      <w:r>
        <w:rPr>
          <w:b/>
          <w:bCs/>
        </w:rPr>
        <w:t>):</w:t>
      </w:r>
      <w:r>
        <w:rPr/>
        <w:t xml:space="preserve"> explain that IVIG is a blood product used sometimes alongside light treatment for jaundice caused by the baby’s and mother’s blood groups not matching, that recent good-quality research has found it may not reduce the need for an exchange (blood-swap) procedure as much as once thought, that it carries a small possible risk of a bowel problem (necrotising enterocolitis) that the team will watch for closely, and that if a blood exchange is needed it will go ahead regardless of whether IVIG has been given.</w:t>
      </w:r>
    </w:p>
    <w:p>
      <w:pPr>
        <w:pStyle w:val="Normal"/>
        <w:rPr/>
      </w:pPr>
      <w:bookmarkStart w:id="22" w:name="risks-and-their-management"/>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p>
    <w:p>
      <w:pPr>
        <w:pStyle w:val="Heading2"/>
        <w:rPr/>
      </w:pPr>
      <w:bookmarkStart w:id="23" w:name="__RefHeading___Toc602_3445947287"/>
      <w:bookmarkStart w:id="24" w:name="Xe910c6a8f56593798685a83f601deec77ecc574"/>
      <w:bookmarkEnd w:id="23"/>
      <w:r>
        <w:rPr/>
        <w:t>8. Documentation, database entry, audit standards</w:t>
      </w:r>
    </w:p>
    <w:p>
      <w:pPr>
        <w:pStyle w:val="Compact"/>
        <w:numPr>
          <w:ilvl w:val="0"/>
          <w:numId w:val="17"/>
        </w:numPr>
        <w:rPr/>
      </w:pPr>
      <w:r>
        <w:rPr/>
        <w:t>Document, in the neonatal notes: indication, DAT/antibody status, bilirubin trajectory and rate of rise at time of decision, dose, infusion duration/tolerance, and explicit confirmation that exchange-transfusion preparation was not deferred.</w:t>
      </w:r>
    </w:p>
    <w:p>
      <w:pPr>
        <w:pStyle w:val="Compact"/>
        <w:numPr>
          <w:ilvl w:val="0"/>
          <w:numId w:val="18"/>
        </w:numPr>
        <w:rPr/>
      </w:pPr>
      <w:r>
        <w:rPr/>
        <w:t xml:space="preserve">Record on the National Immunoglobulin Database (NID) per current NHS England Clinical Commissioning Criteria for Immunoglobulin requirements — </w:t>
      </w:r>
      <w:r>
        <w:rPr>
          <w:b/>
          <w:bCs/>
        </w:rPr>
        <w:t>confirm current HDFN-specific classification and Immunoglobulin Assessment Panel approval requirement locally before ratification</w:t>
      </w:r>
      <w:r>
        <w:rPr/>
        <w:t xml:space="preserve"> (not confirmed this session, </w:t>
      </w:r>
      <w:r>
        <w:rPr>
          <w:rStyle w:val="VerbatimChar"/>
        </w:rPr>
        <w:t>domain-F.md</w:t>
      </w:r>
      <w:r>
        <w:rPr/>
        <w:t>).</w:t>
      </w:r>
    </w:p>
    <w:p>
      <w:pPr>
        <w:pStyle w:val="Compact"/>
        <w:numPr>
          <w:ilvl w:val="0"/>
          <w:numId w:val="19"/>
        </w:numPr>
        <w:rPr/>
      </w:pPr>
      <w:r>
        <w:rPr/>
        <w:t xml:space="preserve">Report any suspected IVIG-associated NEC, haemolysis, or thromboembolic event via </w:t>
      </w:r>
      <w:r>
        <w:rPr>
          <w:b/>
          <w:bCs/>
        </w:rPr>
        <w:t>both</w:t>
      </w:r>
      <w:r>
        <w:rPr/>
        <w:t xml:space="preserve"> the Trust’s local incident-reporting system (e.g. Datix) </w:t>
      </w:r>
      <w:r>
        <w:rPr>
          <w:b/>
          <w:bCs/>
        </w:rPr>
        <w:t>and</w:t>
      </w:r>
      <w:r>
        <w:rPr/>
        <w:t xml:space="preserve"> MHRA Yellow Card — this review found no evidence that UK national haemovigilance (SHOT) currently captures IVIG-treatment-specific neonatal harms as a distinct category (as opposed to anti-D prophylaxis errors), so local/national pharmacovigilance reporting is the only current mechanism likely to detect a genuine signal.</w:t>
      </w:r>
    </w:p>
    <w:p>
      <w:pPr>
        <w:pStyle w:val="FirstParagraph"/>
        <w:rPr/>
      </w:pPr>
      <w:r>
        <w:rPr>
          <w:b/>
          <w:bCs/>
        </w:rPr>
        <w:t>Suggested measurable audit standards:</w:t>
      </w:r>
      <w:r>
        <w:rPr/>
        <w:t xml:space="preserve"> 1. Proportion of infants given IVIG for HDFN who had intensive (not single-light) phototherapy confirmed and documented before administration — target 100%. 2. Proportion of infants given IVIG who had exchange-transfusion preparation documented as running in parallel (where bilirubin was within a pre-specified margin of the exchange threshold) — target 100%. 3. Proportion of infants given IVIG with a pre- and post-dose FBC/reticulocyte/DAT recorded — target 100%. 4. Incidence of NEC within 72 hours of IVIG administration in the unit’s own HDFN cohort, tracked over time as a local safety signal (denominator likely too small at a single unit for statistical power — consider network-level pooling). 5. Proportion of DAT-negative ABO-disease infants given IVIG without documented explicit acknowledgement that no direct evidence supports this use — target 0% receiving IVIG without this documentation.</w:t>
      </w:r>
    </w:p>
    <w:p>
      <w:pPr>
        <w:pStyle w:val="Normal"/>
        <w:rPr/>
      </w:pPr>
      <w:bookmarkStart w:id="25" w:name="Xe910c6a8f56593798685a83f601deec77ecc574"/>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p>
    <w:p>
      <w:pPr>
        <w:pStyle w:val="Heading2"/>
        <w:rPr/>
      </w:pPr>
      <w:bookmarkStart w:id="26" w:name="__RefHeading___Toc604_3445947287"/>
      <w:bookmarkStart w:id="27" w:name="references"/>
      <w:bookmarkEnd w:id="26"/>
      <w:r>
        <w:rPr/>
        <w:t>References</w:t>
      </w:r>
    </w:p>
    <w:p>
      <w:pPr>
        <w:pStyle w:val="FirstParagraph"/>
        <w:spacing w:before="180" w:after="180"/>
        <w:rPr/>
      </w:pPr>
      <w:r>
        <w:rPr/>
        <w:t xml:space="preserve">Full verified reference list with PMID/DOI: </w:t>
      </w:r>
      <w:r>
        <w:rPr>
          <w:rStyle w:val="VerbatimChar"/>
        </w:rPr>
        <w:t>../05-references/references.md</w:t>
      </w:r>
      <w:r>
        <w:rPr/>
        <w:t xml:space="preserve">. Every recommendation above is tagged with either a GRADE certainty rating (drawn from </w:t>
      </w:r>
      <w:r>
        <w:rPr>
          <w:rStyle w:val="VerbatimChar"/>
        </w:rPr>
        <w:t>../03-synthesis/domain-A.md</w:t>
      </w:r>
      <w:r>
        <w:rPr/>
        <w:t xml:space="preserve"> through </w:t>
      </w:r>
      <w:r>
        <w:rPr>
          <w:rStyle w:val="VerbatimChar"/>
        </w:rPr>
        <w:t>domain-F.md</w:t>
      </w:r>
      <w:r>
        <w:rPr/>
        <w:t xml:space="preserve"> and </w:t>
      </w:r>
      <w:r>
        <w:rPr>
          <w:rStyle w:val="VerbatimChar"/>
        </w:rPr>
        <w:t>cross-cutting.md</w:t>
      </w:r>
      <w:r>
        <w:rPr/>
        <w:t>) or explicitly marked “guidance/consensus” where it rests on a grey-literature source (</w:t>
      </w:r>
      <w:r>
        <w:rPr>
          <w:rStyle w:val="VerbatimChar"/>
        </w:rPr>
        <w:t>../02-extraction/guidance-table.md</w:t>
      </w:r>
      <w:r>
        <w:rPr/>
        <w:t>) rather than peer-reviewed trial evidence, per the review’s non-negotiable rule that guidance is never presented as if it were evidence.</w:t>
      </w:r>
      <w:bookmarkEnd w:id="1"/>
      <w:bookmarkEnd w:id="2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2026-09-20T22:27:42Z</dcterms:created>
  <dc:creator>Imperial College Healthcare NHS Trust — Queen Charlotte's &amp; Chelsea and St Mary's Neonatal Units (DRAFT)</dc:creator>
  <dc:description/>
  <dc:language>en-US</dc:language>
  <cp:lastModifiedBy/>
  <dcterms:modified xsi:type="dcterms:W3CDTF">2026-09-20T22:28:57Z</dcterms:modified>
  <cp:revision>1</cp:revision>
  <dc:subject/>
  <dc:title>IVIG for Neonatal Alloimmune Haemolytic Disease (HDFN) — Unit Guideline</dc:title>
</cp:coreProperties>
</file>

<file path=docProps/custom.xml><?xml version="1.0" encoding="utf-8"?>
<Properties xmlns="http://schemas.openxmlformats.org/officeDocument/2006/custom-properties" xmlns:vt="http://schemas.openxmlformats.org/officeDocument/2006/docPropsVTypes"/>
</file>