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Intravenous immunoglobulin for neonatal alloimmune haemolytic disease: what the evidence now says</w:t>
      </w:r>
    </w:p>
    <w:p>
      <w:pPr>
        <w:pStyle w:val="Author"/>
      </w:pPr>
      <w:r>
        <w:t xml:space="preserve">Draft for Infant journal — pitch to Marie Hines</w:t>
      </w:r>
    </w:p>
    <w:bookmarkStart w:id="31" w:name="X257c090831261ac1d9afff02801e8ff664877a2"/>
    <w:p>
      <w:pPr>
        <w:pStyle w:val="Heading1"/>
      </w:pPr>
      <w:r>
        <w:t xml:space="preserve">Draft manuscript for</w:t>
      </w:r>
      <w:r>
        <w:t xml:space="preserve"> </w:t>
      </w:r>
      <w:r>
        <w:rPr>
          <w:iCs/>
          <w:i/>
        </w:rPr>
        <w:t xml:space="preserve">Infant</w:t>
      </w:r>
      <w:r>
        <w:t xml:space="preserve"> </w:t>
      </w:r>
      <w:r>
        <w:t xml:space="preserve">— pitch to Marie Hines</w:t>
      </w:r>
    </w:p>
    <w:p>
      <w:pPr>
        <w:pStyle w:val="FirstParagraph"/>
      </w:pPr>
      <w:r>
        <w:rPr>
          <w:bCs/>
          <w:b/>
        </w:rPr>
        <w:t xml:space="preserve">Working title:</w:t>
      </w:r>
      <w:r>
        <w:t xml:space="preserve"> </w:t>
      </w:r>
      <w:r>
        <w:t xml:space="preserve">Intravenous immunoglobulin for neonatal alloimmune haemolytic disease: what the evidence now says</w:t>
      </w:r>
    </w:p>
    <w:p>
      <w:pPr>
        <w:pStyle w:val="BodyText"/>
      </w:pPr>
      <w:r>
        <w:rPr>
          <w:bCs/>
          <w:b/>
        </w:rPr>
        <w:t xml:space="preserve">Status:</w:t>
      </w:r>
      <w:r>
        <w:t xml:space="preserve"> </w:t>
      </w:r>
      <w:r>
        <w:t xml:space="preserve">Draft built from the full structured evidence synthesis (</w:t>
      </w:r>
      <w:r>
        <w:rPr>
          <w:rStyle w:val="VerbatimChar"/>
        </w:rPr>
        <w:t xml:space="preserve">../03-synthesis/</w:t>
      </w:r>
      <w:r>
        <w:t xml:space="preserve">) per the brief’s instruction to write the complete synthesis first and then trim to</w:t>
      </w:r>
      <w:r>
        <w:t xml:space="preserve"> </w:t>
      </w:r>
      <w:r>
        <w:rPr>
          <w:iCs/>
          <w:i/>
        </w:rPr>
        <w:t xml:space="preserve">Infant</w:t>
      </w:r>
      <w:r>
        <w:t xml:space="preserve">’s format. This file is that trimmed version; the underlying population/intervention/findings/practice-implication detail for every included study lives in the domain synthesis files and</w:t>
      </w:r>
      <w:r>
        <w:t xml:space="preserve"> </w:t>
      </w:r>
      <w:r>
        <w:rPr>
          <w:rStyle w:val="VerbatimChar"/>
        </w:rPr>
        <w:t xml:space="preserve">../02-extraction/extraction.csv</w:t>
      </w:r>
      <w:r>
        <w:t xml:space="preserve">, and is cited here by PMID/DOI rather than repeated in full.</w:t>
      </w:r>
      <w:r>
        <w:t xml:space="preserve"> </w:t>
      </w:r>
      <w:r>
        <w:rPr>
          <w:iCs/>
          <w:i/>
        </w:rPr>
        <w:t xml:space="preserve">Infant</w:t>
      </w:r>
      <w:r>
        <w:t xml:space="preserve">’s house style, word-count limit, and reference format have not been independently verified this session (no access to the journal’s current author guidelines was attempted) — confirm against the current</w:t>
      </w:r>
      <w:r>
        <w:t xml:space="preserve"> </w:t>
      </w:r>
      <w:r>
        <w:rPr>
          <w:iCs/>
          <w:i/>
        </w:rPr>
        <w:t xml:space="preserve">Infant</w:t>
      </w:r>
      <w:r>
        <w:t xml:space="preserve"> </w:t>
      </w:r>
      <w:r>
        <w:t xml:space="preserve">author guidelines before submission; word count and reference style below are estimates based on the journal’s typical practice-review format.</w:t>
      </w:r>
    </w:p>
    <w:p>
      <w:pPr>
        <w:pStyle w:val="BodyText"/>
      </w:pPr>
      <w:r>
        <w:rPr>
          <w:bCs/>
          <w:b/>
        </w:rPr>
        <w:t xml:space="preserve">Suggested word count:</w:t>
      </w:r>
      <w:r>
        <w:t xml:space="preserve"> </w:t>
      </w:r>
      <w:r>
        <w:t xml:space="preserve">~2,000–2,500 words plus 2 tables and a key-points box — typical for an</w:t>
      </w:r>
      <w:r>
        <w:t xml:space="preserve"> </w:t>
      </w:r>
      <w:r>
        <w:rPr>
          <w:iCs/>
          <w:i/>
        </w:rPr>
        <w:t xml:space="preserve">Infant</w:t>
      </w:r>
      <w:r>
        <w:t xml:space="preserve"> </w:t>
      </w:r>
      <w:r>
        <w:t xml:space="preserve">practice-review article; verify against current guidelines before submission.</w:t>
      </w:r>
    </w:p>
    <w:p>
      <w:r>
        <w:pict>
          <v:rect style="width:0;height:1.5pt" o:hralign="center" o:hrstd="t" o:hr="t"/>
        </w:pict>
      </w:r>
    </w:p>
    <w:bookmarkStart w:id="20" w:name="abstract-draft-150-words"/>
    <w:p>
      <w:pPr>
        <w:pStyle w:val="Heading2"/>
      </w:pPr>
      <w:r>
        <w:t xml:space="preserve">Abstract (draft, ~150 words)</w:t>
      </w:r>
    </w:p>
    <w:p>
      <w:pPr>
        <w:pStyle w:val="FirstParagraph"/>
      </w:pPr>
      <w:r>
        <w:t xml:space="preserve">Intravenous immunoglobulin (IVIG) has been used for over 30 years as an adjunct to phototherapy in neonatal alloimmune haemolytic disease (HDFN), on the strength of 1990s trials reporting large reductions in exchange transfusion. This review finds that the two most rigorously conducted trials since — both double-blind, placebo-controlled, and run under modern intensive phototherapy — found no benefit at all, and that this null result is concordant with a risk-of-bias-stratified reanalysis of the wider trial literature. The evidence for ABO disease is weaker still, with no low-risk-of-bias trial ever conducted. A necrotising enterocolitis signal in retrospective cohorts does not survive adjustment for confounding by indication in the one study designed to test it. International guidance (AAP 2022, a 2022 expert panel) has revised its recommendations accordingly; UK guidance (NICE CG98) shows no confirmed evidence of having done so. This article sets out what the current evidence supports, and does not support, for practising neonatal teams.</w:t>
      </w:r>
    </w:p>
    <w:bookmarkEnd w:id="20"/>
    <w:bookmarkStart w:id="21" w:name="key-points-box-draft"/>
    <w:p>
      <w:pPr>
        <w:pStyle w:val="Heading2"/>
      </w:pPr>
      <w:r>
        <w:t xml:space="preserve">Key points box (draft)</w:t>
      </w:r>
    </w:p>
    <w:p>
      <w:pPr>
        <w:numPr>
          <w:ilvl w:val="0"/>
          <w:numId w:val="1001"/>
        </w:numPr>
        <w:pStyle w:val="Compact"/>
      </w:pPr>
      <w:r>
        <w:t xml:space="preserve">The two best-conducted RCTs in Rh disease, both under modern intensive phototherapy, found IVIG made</w:t>
      </w:r>
      <w:r>
        <w:t xml:space="preserve"> </w:t>
      </w:r>
      <w:r>
        <w:rPr>
          <w:bCs/>
          <w:b/>
        </w:rPr>
        <w:t xml:space="preserve">no difference</w:t>
      </w:r>
      <w:r>
        <w:t xml:space="preserve"> </w:t>
      </w:r>
      <w:r>
        <w:t xml:space="preserve">to exchange-transfusion rate.</w:t>
      </w:r>
    </w:p>
    <w:p>
      <w:pPr>
        <w:numPr>
          <w:ilvl w:val="0"/>
          <w:numId w:val="1001"/>
        </w:numPr>
        <w:pStyle w:val="Compact"/>
      </w:pPr>
      <w:r>
        <w:t xml:space="preserve">No equivalent high-quality trial has ever been run in ABO disease — the evidence there is weaker, not just smaller.</w:t>
      </w:r>
    </w:p>
    <w:p>
      <w:pPr>
        <w:numPr>
          <w:ilvl w:val="0"/>
          <w:numId w:val="1001"/>
        </w:numPr>
        <w:pStyle w:val="Compact"/>
      </w:pPr>
      <w:r>
        <w:t xml:space="preserve">A necrotising enterocolitis signal exists in the literature but does not survive the one study designed to control for confounding by indication.</w:t>
      </w:r>
    </w:p>
    <w:p>
      <w:pPr>
        <w:numPr>
          <w:ilvl w:val="0"/>
          <w:numId w:val="1001"/>
        </w:numPr>
        <w:pStyle w:val="Compact"/>
      </w:pPr>
      <w:r>
        <w:t xml:space="preserve">IVIG does not appear to increase late anaemia or top-up transfusion requirement above the rate already seen in HDN itself.</w:t>
      </w:r>
    </w:p>
    <w:p>
      <w:pPr>
        <w:numPr>
          <w:ilvl w:val="0"/>
          <w:numId w:val="1001"/>
        </w:numPr>
        <w:pStyle w:val="Compact"/>
      </w:pPr>
      <w:r>
        <w:t xml:space="preserve">International guidance has moved to reflect this; UK guidance may not yet have caught up — teams should check their local protocol’s evidence base.</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Alloimmune HDFN — most often Rh-D or ABO incompatibility — remains a cause of significant neonatal jaundice and, in its most severe (largely antenatally managed) forms, hydrops fetalis. Postnatal management centres on phototherapy, with exchange transfusion reserved for infants whose bilirubin continues to rise despite it. IVIG has been used since the early 1990s as an intermediate step, on the rationale that saturating Fc receptors on reticuloendothelial macrophages slows the clearance of antibody-coated red cells — a mechanism established for a related antibody (anti-D) in a different condition (adult immune thrombocytopenic purpura; Ware &amp; Zimmerman,</w:t>
      </w:r>
      <w:r>
        <w:t xml:space="preserve"> </w:t>
      </w:r>
      <w:r>
        <w:rPr>
          <w:iCs/>
          <w:i/>
        </w:rPr>
        <w:t xml:space="preserve">Semin Hematol</w:t>
      </w:r>
      <w:r>
        <w:t xml:space="preserve"> </w:t>
      </w:r>
      <w:r>
        <w:t xml:space="preserve">1998, PMID 9523745) rather than directly demonstrated for IVIG in neonatal HDFN itself.</w:t>
      </w:r>
    </w:p>
    <w:p>
      <w:pPr>
        <w:pStyle w:val="BodyText"/>
      </w:pPr>
      <w:r>
        <w:t xml:space="preserve">This article summarises a systematised narrative review of the IVIG-in-HDFN evidence base, completed September 2026, built specifically to update local unit practice at a London tertiary neonatal service. The full search strategy, extraction table, and domain-by-domain synthesis are available on request; this article presents the practice-relevant findings.</w:t>
      </w:r>
    </w:p>
    <w:bookmarkEnd w:id="22"/>
    <w:bookmarkStart w:id="23" w:name="what-has-changed-the-era-effect"/>
    <w:p>
      <w:pPr>
        <w:pStyle w:val="Heading2"/>
      </w:pPr>
      <w:r>
        <w:t xml:space="preserve">2. What has changed: the era effect</w:t>
      </w:r>
    </w:p>
    <w:p>
      <w:pPr>
        <w:pStyle w:val="FirstParagraph"/>
      </w:pPr>
      <w:r>
        <w:t xml:space="preserve">The trial literature on IVIG in Rh disease divides cleanly by design quality, and design quality correlates almost perfectly with trial era. Every trial published from 1992–2010 reporting a large benefit (Rübo et al. 1992, PMID 1306646; Voto et al. 1995, PMID 8904473; Dağoğlu et al. 1995, PMID 7589769; Elalfy et al. 2010, PMID 20924607) is open-label, unblinded, or uses a comparator that predates intensive phototherapy as standard care. The two trials published since that used a placebo control, blinding, and an explicitly modern or high-intensity phototherapy comparator — Smits-Wintjens et al. 2011 (Leiden, PMID 21422084) and Santos et al. 2012 (Brazil, PMID 22882285) — both found</w:t>
      </w:r>
      <w:r>
        <w:t xml:space="preserve"> </w:t>
      </w:r>
      <w:r>
        <w:rPr>
          <w:bCs/>
          <w:b/>
        </w:rPr>
        <w:t xml:space="preserve">no difference</w:t>
      </w:r>
      <w:r>
        <w:t xml:space="preserve"> </w:t>
      </w:r>
      <w:r>
        <w:t xml:space="preserve">in exchange-transfusion rate, phototherapy duration, peak bilirubin, or top-up transfusion requirement between IVIG and placebo.</w:t>
      </w:r>
    </w:p>
    <w:p>
      <w:pPr>
        <w:pStyle w:val="BodyText"/>
      </w:pPr>
      <w:r>
        <w:t xml:space="preserve">A risk-of-bias-stratified meta-analysis (Louis et al. 2014,</w:t>
      </w:r>
      <w:r>
        <w:t xml:space="preserve"> </w:t>
      </w:r>
      <w:r>
        <w:rPr>
          <w:iCs/>
          <w:i/>
        </w:rPr>
        <w:t xml:space="preserve">Arch Dis Child Fetal Neonatal Ed</w:t>
      </w:r>
      <w:r>
        <w:t xml:space="preserve">, PMID 24514437) makes the mechanism of this discrepancy explicit: pooling all identified Rh trials gives a risk ratio for exchange transfusion of 0.23 (95% CI 0.13–0.40); restricting to trials also using prophylactic/intensive phototherapy gives 0.82 (95% CI 0.53–1.26) — no significant effect. The 2018 Cochrane update (Zwiers et al., PMID 29551014) reproduces this pattern in its own sensitivity analysis of the two lowest-risk-of-bias trials (RR 0.98, 95% CI 0.48–1.98).</w:t>
      </w:r>
      <w:r>
        <w:t xml:space="preserve"> </w:t>
      </w:r>
      <w:r>
        <w:rPr>
          <w:bCs/>
          <w:b/>
        </w:rPr>
        <w:t xml:space="preserve">The apparent efficacy of IVIG in the older literature and its apparent absence in the newer literature are not really in tension: they reflect open-label trials under old-style phototherapy versus blinded trials under modern phototherapy, and the blinded modern comparison is null.</w:t>
      </w:r>
    </w:p>
    <w:bookmarkEnd w:id="23"/>
    <w:bookmarkStart w:id="24" w:name="Xb5945e379ddcd8ccfc7ef909f9f1743bd8ade22"/>
    <w:p>
      <w:pPr>
        <w:pStyle w:val="Heading2"/>
      </w:pPr>
      <w:r>
        <w:t xml:space="preserve">3. ABO disease: a weaker case, not a smaller one</w:t>
      </w:r>
    </w:p>
    <w:p>
      <w:pPr>
        <w:pStyle w:val="FirstParagraph"/>
      </w:pPr>
      <w:r>
        <w:t xml:space="preserve">It would be a mistake to assume ABO disease simply mirrors Rh disease with less statistical power. No placebo-controlled, low-risk-of-bias RCT of IVIG has ever been conducted in ABO disease — Louis et al.’s ABO-specific pooled estimate (RR 0.31, 95% CI 0.18–0.55, 5 trials) draws exclusively on high-risk-of-bias trials, with no low-risk-of-bias tier to sensitivity-check it against. The largest modern ABO datasets are non-randomised: Okulu et al. 2022 (Turkish national registry, n=531, PMID 35573949) found IVIG associated with</w:t>
      </w:r>
      <w:r>
        <w:t xml:space="preserve"> </w:t>
      </w:r>
      <w:r>
        <w:rPr>
          <w:iCs/>
          <w:i/>
        </w:rPr>
        <w:t xml:space="preserve">more</w:t>
      </w:r>
      <w:r>
        <w:t xml:space="preserve">, not less, exchange transfusion when given near the exchange threshold; three further cohorts (Daunov et al. 2022, n=579, PMID 38286423; Pan et al. 2021, n=114, PMID 33589732; Al-Lawama et al. 2019, n=202, PMID 31803318) found no benefit or a similarly adverse-trending association. All four are confounded by indication — sicker infants were preferentially treated — so none proves harm, but collectively they offer no reassurance of benefit either. Nasseri et al. 2006 (PMID 17143357), the only trial to randomise both antibody types under one protocol, found IVIG performed significantly worse against ABO than against Rh haemolysis even in an era when the literature broadly favoured its use.</w:t>
      </w:r>
    </w:p>
    <w:p>
      <w:pPr>
        <w:pStyle w:val="BodyText"/>
      </w:pPr>
      <w:r>
        <w:t xml:space="preserve">No trial anywhere in this evidence base reports outcomes separately for DAT-negative ABO disease — a recognised clinical entity — despite every efficacy trial requiring DAT positivity for enrolment.</w:t>
      </w:r>
    </w:p>
    <w:bookmarkEnd w:id="24"/>
    <w:bookmarkStart w:id="25" w:name="the-necrotising-enterocolitis-question"/>
    <w:p>
      <w:pPr>
        <w:pStyle w:val="Heading2"/>
      </w:pPr>
      <w:r>
        <w:t xml:space="preserve">4. The necrotising enterocolitis question</w:t>
      </w:r>
    </w:p>
    <w:p>
      <w:pPr>
        <w:pStyle w:val="FirstParagraph"/>
      </w:pPr>
      <w:r>
        <w:t xml:space="preserve">The largest single NEC signal (Figueras-Aloy et al. 2009, Spain, n=492, PMID 19948572: adjusted OR 31.66, 95% CI 3.25–308.57) and a pooled meta-analytic estimate (Yang et al. 2016, OR 4.53, 95% CI 2.34–8.79, PMID 27735024) both come from retrospective cohorts that do not adequately separate IVIG’s contribution from the severity of disease that led to it being given — sicker, more actively haemolysing infants are both more likely to receive IVIG and plausibly more vulnerable to NEC through unrelated mechanisms. The one study specifically designed to disentangle this — Li et al. 2022 (China, n=1259, propensity-score-matched, PMID 35613867) — found</w:t>
      </w:r>
      <w:r>
        <w:t xml:space="preserve"> </w:t>
      </w:r>
      <w:r>
        <w:rPr>
          <w:bCs/>
          <w:b/>
        </w:rPr>
        <w:t xml:space="preserve">no significant association</w:t>
      </w:r>
      <w:r>
        <w:t xml:space="preserve"> </w:t>
      </w:r>
      <w:r>
        <w:t xml:space="preserve">between IVIG and NEC. A mechanistic case series (Navarro et al. 2009, PMID 19397554) offers histopathological support for a plausible thrombotic pathway, giving the signal biological coherence even though its magnitude in the confounded studies is very likely overstated. The honest position, on current evidence, is that a causal NEC effect can be neither confirmed nor excluded with any confidence.</w:t>
      </w:r>
    </w:p>
    <w:bookmarkEnd w:id="25"/>
    <w:bookmarkStart w:id="26" w:name="reassurance-on-late-anaemia"/>
    <w:p>
      <w:pPr>
        <w:pStyle w:val="Heading2"/>
      </w:pPr>
      <w:r>
        <w:t xml:space="preserve">5. Reassurance on late anaemia</w:t>
      </w:r>
    </w:p>
    <w:p>
      <w:pPr>
        <w:pStyle w:val="FirstParagraph"/>
      </w:pPr>
      <w:r>
        <w:t xml:space="preserve">One clear positive finding: IVIG does not appear to worsen the late hyporegenerative anaemia that is common in HDN generally (driven principally by intrauterine-transfusion-related marrow suppression). Both of the highest-quality placebo-controlled RCTs found no significant difference in top-up transfusion requirement between IVIG and placebo arms (Smits-Wintjens 2011; Santos 2012). Post-discharge haemoglobin surveillance is warranted for infants with significant haemolysis or a history of intrauterine transfusion regardless of whether they received IVIG — this is a feature of the disease, not of the treatment.</w:t>
      </w:r>
    </w:p>
    <w:bookmarkEnd w:id="26"/>
    <w:bookmarkStart w:id="27" w:name="where-guidance-stands"/>
    <w:p>
      <w:pPr>
        <w:pStyle w:val="Heading2"/>
      </w:pPr>
      <w:r>
        <w:t xml:space="preserve">6. Where guidance stands</w:t>
      </w:r>
    </w:p>
    <w:p>
      <w:pPr>
        <w:pStyle w:val="FirstParagraph"/>
      </w:pPr>
      <w:r>
        <w:t xml:space="preserve">The 2022 AAP hyperbilirubinaemia guideline revision (Kemper et al.; technical report Slaughter et al., PMID 35927462/35927519) explicitly cites</w:t>
      </w:r>
      <w:r>
        <w:t xml:space="preserve"> </w:t>
      </w:r>
      <w:r>
        <w:t xml:space="preserve">“</w:t>
      </w:r>
      <w:r>
        <w:t xml:space="preserve">unclear benefit… with a possible risk of harm due to necrotizing enterocolitis</w:t>
      </w:r>
      <w:r>
        <w:t xml:space="preserve">”</w:t>
      </w:r>
      <w:r>
        <w:t xml:space="preserve"> </w:t>
      </w:r>
      <w:r>
        <w:t xml:space="preserve">as its reason for downgrading IVIG to conditional, threshold-triggered use. A 2022 international multi-society expert panel (</w:t>
      </w:r>
      <w:r>
        <w:rPr>
          <w:iCs/>
          <w:i/>
        </w:rPr>
        <w:t xml:space="preserve">Br J Haematol</w:t>
      </w:r>
      <w:r>
        <w:t xml:space="preserve">, DOI 10.1111/bjh.18170) goes further, concluding IVIG</w:t>
      </w:r>
      <w:r>
        <w:t xml:space="preserve"> </w:t>
      </w:r>
      <w:r>
        <w:t xml:space="preserve">“</w:t>
      </w:r>
      <w:r>
        <w:t xml:space="preserve">should not be used routinely.</w:t>
      </w:r>
      <w:r>
        <w:t xml:space="preserve">”</w:t>
      </w:r>
      <w:r>
        <w:t xml:space="preserve"> </w:t>
      </w:r>
      <w:r>
        <w:t xml:space="preserve">By contrast, this review could not confirm that NICE CG98 — the guidance a UK unit would otherwise default to — has revisited its IVIG recommendation’s evidence base since the original 2010 guideline, despite both international re-evaluations occurring in the same year (2022) as NICE’s own most recent surveillance activity (2023). Units relying on NICE CG98’s wording alone may be practising on an evidence base that has since been superseded internationally.</w:t>
      </w:r>
    </w:p>
    <w:bookmarkEnd w:id="27"/>
    <w:bookmarkStart w:id="28" w:name="practice-implications"/>
    <w:p>
      <w:pPr>
        <w:pStyle w:val="Heading2"/>
      </w:pPr>
      <w:r>
        <w:t xml:space="preserve">7. Practice implications</w:t>
      </w:r>
    </w:p>
    <w:p>
      <w:pPr>
        <w:numPr>
          <w:ilvl w:val="0"/>
          <w:numId w:val="1002"/>
        </w:numPr>
        <w:pStyle w:val="Compact"/>
      </w:pPr>
      <w:r>
        <w:t xml:space="preserve">Optimise intensive phototherapy fully before considering IVIG — the trials showing no benefit tested IVIG as an adjunct to intensive phototherapy, not as a substitute for escalating it first.</w:t>
      </w:r>
    </w:p>
    <w:p>
      <w:pPr>
        <w:numPr>
          <w:ilvl w:val="0"/>
          <w:numId w:val="1002"/>
        </w:numPr>
        <w:pStyle w:val="Compact"/>
      </w:pPr>
      <w:r>
        <w:t xml:space="preserve">IVIG must never delay a clinically indicated exchange transfusion — prepare for exchange in parallel, not sequentially.</w:t>
      </w:r>
    </w:p>
    <w:p>
      <w:pPr>
        <w:numPr>
          <w:ilvl w:val="0"/>
          <w:numId w:val="1002"/>
        </w:numPr>
        <w:pStyle w:val="Compact"/>
      </w:pPr>
      <w:r>
        <w:t xml:space="preserve">Where IVIG is used, monitor closely for feed intolerance and abdominal signs for the first 24–48 hours, and take a pre- and post-dose full blood count and DAT to detect IVIG’s own isoagglutinin-mediated haemolysis, distinct from the underlying disease.</w:t>
      </w:r>
    </w:p>
    <w:p>
      <w:pPr>
        <w:numPr>
          <w:ilvl w:val="0"/>
          <w:numId w:val="1002"/>
        </w:numPr>
        <w:pStyle w:val="Compact"/>
      </w:pPr>
      <w:r>
        <w:t xml:space="preserve">Treat DAT-negative ABO disease and non-D/Kell/anti-c/anti-E antibody disease as genuine evidence gaps, not as extrapolations from the Rh/DAT-positive-ABO literature.</w:t>
      </w:r>
    </w:p>
    <w:p>
      <w:pPr>
        <w:numPr>
          <w:ilvl w:val="0"/>
          <w:numId w:val="1002"/>
        </w:numPr>
        <w:pStyle w:val="Compact"/>
      </w:pPr>
      <w:r>
        <w:t xml:space="preserve">Consider auditing local IVIG practice against the evidence base above, and reviewing whether local unit guidance still reflects the pre-2011 trial literature.</w:t>
      </w:r>
    </w:p>
    <w:bookmarkEnd w:id="28"/>
    <w:bookmarkStart w:id="29" w:name="conclusion"/>
    <w:p>
      <w:pPr>
        <w:pStyle w:val="Heading2"/>
      </w:pPr>
      <w:r>
        <w:t xml:space="preserve">8. Conclusion</w:t>
      </w:r>
    </w:p>
    <w:p>
      <w:pPr>
        <w:pStyle w:val="FirstParagraph"/>
      </w:pPr>
      <w:r>
        <w:t xml:space="preserve">Thirty years after the first positive trials, the best available evidence no longer supports IVIG as a routinely effective adjunct in neonatal alloimmune HDFN once modern intensive phototherapy is standard care. This does not mean IVIG has no role — the evidence is not strong enough to exclude a modest benefit in a specific bridging scenario, and it is not strong enough to confirm the NEC signal either — but it does mean the historical justification for its widespread, semi-routine use has not survived contemporary trial conditions. Units should review their own guidance against this evidence, not against the trial literature that originally established the practice.</w:t>
      </w:r>
    </w:p>
    <w:p>
      <w:r>
        <w:pict>
          <v:rect style="width:0;height:1.5pt" o:hralign="center" o:hrstd="t" o:hr="t"/>
        </w:pict>
      </w:r>
    </w:p>
    <w:bookmarkEnd w:id="29"/>
    <w:bookmarkStart w:id="30" w:name="notes-for-the-pitch-to-marie-hines"/>
    <w:p>
      <w:pPr>
        <w:pStyle w:val="Heading2"/>
      </w:pPr>
      <w:r>
        <w:t xml:space="preserve">Notes for the pitch to Marie Hines</w:t>
      </w:r>
    </w:p>
    <w:p>
      <w:pPr>
        <w:numPr>
          <w:ilvl w:val="0"/>
          <w:numId w:val="1003"/>
        </w:numPr>
        <w:pStyle w:val="Compact"/>
      </w:pPr>
      <w:r>
        <w:t xml:space="preserve">This draft leans on the</w:t>
      </w:r>
      <w:r>
        <w:t xml:space="preserve"> </w:t>
      </w:r>
      <w:r>
        <w:t xml:space="preserve">“</w:t>
      </w:r>
      <w:r>
        <w:t xml:space="preserve">guidance has moved but UK guidance may not have</w:t>
      </w:r>
      <w:r>
        <w:t xml:space="preserve">”</w:t>
      </w:r>
      <w:r>
        <w:t xml:space="preserve"> </w:t>
      </w:r>
      <w:r>
        <w:t xml:space="preserve">angle (§6) as the practice-relevant hook likely to interest</w:t>
      </w:r>
      <w:r>
        <w:t xml:space="preserve"> </w:t>
      </w:r>
      <w:r>
        <w:rPr>
          <w:iCs/>
          <w:i/>
        </w:rPr>
        <w:t xml:space="preserve">Infant</w:t>
      </w:r>
      <w:r>
        <w:t xml:space="preserve">’s readership of neonatal nurses and allied health professionals, who implement rather than write guidelines.</w:t>
      </w:r>
    </w:p>
    <w:p>
      <w:pPr>
        <w:numPr>
          <w:ilvl w:val="0"/>
          <w:numId w:val="1003"/>
        </w:numPr>
        <w:pStyle w:val="Compact"/>
      </w:pPr>
      <w:r>
        <w:t xml:space="preserve">Two tables from the full synthesis would strengthen this for submission: (1) the era/blinding/phototherapy-intensity table from</w:t>
      </w:r>
      <w:r>
        <w:t xml:space="preserve"> </w:t>
      </w:r>
      <w:r>
        <w:rPr>
          <w:rStyle w:val="VerbatimChar"/>
        </w:rPr>
        <w:t xml:space="preserve">../03-synthesis/cross-cutting.md</w:t>
      </w:r>
      <w:r>
        <w:t xml:space="preserve"> </w:t>
      </w:r>
      <w:r>
        <w:t xml:space="preserve">§1; (2) a simplified guidance-comparison table from</w:t>
      </w:r>
      <w:r>
        <w:t xml:space="preserve"> </w:t>
      </w:r>
      <w:r>
        <w:rPr>
          <w:rStyle w:val="VerbatimChar"/>
        </w:rPr>
        <w:t xml:space="preserve">../02-extraction/guidance-table.md</w:t>
      </w:r>
      <w:r>
        <w:t xml:space="preserve">, cut down to NICE/AAP/BSH/CPS only for length.</w:t>
      </w:r>
    </w:p>
    <w:p>
      <w:pPr>
        <w:numPr>
          <w:ilvl w:val="0"/>
          <w:numId w:val="1003"/>
        </w:numPr>
        <w:pStyle w:val="Compact"/>
      </w:pPr>
      <w:r>
        <w:t xml:space="preserve">Before pitching: verify</w:t>
      </w:r>
      <w:r>
        <w:t xml:space="preserve"> </w:t>
      </w:r>
      <w:r>
        <w:rPr>
          <w:iCs/>
          <w:i/>
        </w:rPr>
        <w:t xml:space="preserve">Infant</w:t>
      </w:r>
      <w:r>
        <w:t xml:space="preserve">’s current author guidelines (word count, reference style, whether they require a clinical</w:t>
      </w:r>
      <w:r>
        <w:t xml:space="preserve"> </w:t>
      </w:r>
      <w:r>
        <w:t xml:space="preserve">“</w:t>
      </w:r>
      <w:r>
        <w:t xml:space="preserve">practice points</w:t>
      </w:r>
      <w:r>
        <w:t xml:space="preserve">”</w:t>
      </w:r>
      <w:r>
        <w:t xml:space="preserve"> </w:t>
      </w:r>
      <w:r>
        <w:t xml:space="preserve">box in a specific format) — not done this session.</w:t>
      </w:r>
    </w:p>
    <w:p>
      <w:pPr>
        <w:numPr>
          <w:ilvl w:val="0"/>
          <w:numId w:val="1003"/>
        </w:numPr>
        <w:pStyle w:val="Compact"/>
      </w:pPr>
      <w:r>
        <w:t xml:space="preserve">Every PMID/DOI cited above was verified against PubMed this session (see</w:t>
      </w:r>
      <w:r>
        <w:t xml:space="preserve"> </w:t>
      </w:r>
      <w:r>
        <w:rPr>
          <w:rStyle w:val="VerbatimChar"/>
        </w:rPr>
        <w:t xml:space="preserve">../05-references/references.md</w:t>
      </w:r>
      <w:r>
        <w:t xml:space="preserve">); none should be altered without re-verification.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Intravenous immunoglobulin for neonatal alloimmune haemolytic disease: what the evidence now says</dc:title>
  <dc:creator>Draft for Infant journal — pitch to Marie Hines</dc:creator>
  <cp:keywords/>
  <dcterms:created xsi:type="dcterms:W3CDTF">2026-09-20T22:27:42Z</dcterms:created>
  <dcterms:modified xsi:type="dcterms:W3CDTF">2026-09-20T22:27:42Z</dcterms:modified>
</cp:coreProperties>
</file>

<file path=docProps/custom.xml><?xml version="1.0" encoding="utf-8"?>
<Properties xmlns="http://schemas.openxmlformats.org/officeDocument/2006/custom-properties" xmlns:vt="http://schemas.openxmlformats.org/officeDocument/2006/docPropsVTypes"/>
</file>