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left"/>
      </w:pPr>
      <w:r>
        <w:rPr>
          <w:rFonts w:ascii="Arial" w:cs="Arial" w:eastAsia="Arial" w:hAnsi="Arial"/>
          <w:color w:val="7F7F7F"/>
          <w:sz w:val="16"/>
          <w:szCs w:val="16"/>
        </w:rPr>
        <w:t xml:space="preserve">Home / Consulting / Culture, Engagement &amp; DEI</w:t>
      </w:r>
    </w:p>
    <w:p>
      <w:pPr>
        <w:pBdr>
          <w:bottom w:val="single" w:color="2E75B6" w:sz="4"/>
        </w:pBdr>
        <w:spacing w:before="120" w:after="120"/>
      </w:pPr>
    </w:p>
    <w:p>
      <w:pPr>
        <w:pStyle w:val="Heading1"/>
      </w:pPr>
      <w:r>
        <w:rPr>
          <w:rFonts w:ascii="Arial" w:cs="Arial" w:eastAsia="Arial" w:hAnsi="Arial"/>
          <w:b/>
          <w:bCs/>
          <w:color w:val="1F3864"/>
          <w:sz w:val="36"/>
          <w:szCs w:val="36"/>
        </w:rPr>
        <w:t xml:space="preserve">Culture, Engagement &amp; DEI Consulting for Enterprises</w:t>
      </w:r>
    </w:p>
    <w:p>
      <w:pPr>
        <w:spacing w:before="80" w:after="80"/>
        <w:jc w:val="left"/>
      </w:pPr>
      <w:r>
        <w:rPr>
          <w:rFonts w:ascii="Arial" w:cs="Arial" w:eastAsia="Arial" w:hAnsi="Arial"/>
          <w:b/>
          <w:bCs/>
          <w:color w:val="1F3864"/>
          <w:sz w:val="22"/>
          <w:szCs w:val="22"/>
        </w:rPr>
        <w:t xml:space="preserve">Edstellar — a premier organizational effectiveness and people strategy consulting firm — </w:t>
      </w:r>
      <w:r>
        <w:rPr>
          <w:rFonts w:ascii="Arial" w:cs="Arial" w:eastAsia="Arial" w:hAnsi="Arial"/>
          <w:color w:val="333333"/>
          <w:sz w:val="20"/>
          <w:szCs w:val="20"/>
        </w:rPr>
        <w:t xml:space="preserve">helps enterprise organizations diagnose culture health, measure employee engagement drivers, assess DEI readiness, and build the employee experience strategies that turn invisible organizational forces into measurable business outcomes. As a trusted corporate culture advisory partner to Fortune 500 organizations globally, Edstellar delivers evidence-based culture transformation consulting that connects insight to lasting structural change.</w:t>
      </w:r>
    </w:p>
    <w:p>
      <w:pPr>
        <w:spacing w:before="60" w:after="120"/>
        <w:jc w:val="left"/>
      </w:pPr>
      <w:r>
        <w:rPr>
          <w:rFonts w:ascii="Arial" w:cs="Arial" w:eastAsia="Arial" w:hAnsi="Arial"/>
          <w:b/>
          <w:bCs/>
          <w:color w:val="2E75B6"/>
          <w:sz w:val="20"/>
          <w:szCs w:val="20"/>
        </w:rPr>
        <w:t xml:space="preserve">→ Request a Culture Consultation    </w:t>
      </w:r>
      <w:r>
        <w:rPr>
          <w:rFonts w:ascii="Arial" w:cs="Arial" w:eastAsia="Arial" w:hAnsi="Arial"/>
          <w:b/>
          <w:bCs/>
          <w:color w:val="2E75B6"/>
          <w:sz w:val="20"/>
          <w:szCs w:val="20"/>
        </w:rPr>
        <w:t xml:space="preserve">→ Explore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jc w:val="center"/>
            </w:pPr>
            <w:r>
              <w:rPr>
                <w:rFonts w:ascii="Arial" w:cs="Arial" w:eastAsia="Arial" w:hAnsi="Arial"/>
                <w:b/>
                <w:bCs/>
                <w:color w:val="1F3864"/>
                <w:sz w:val="36"/>
                <w:szCs w:val="36"/>
              </w:rPr>
              <w:t xml:space="preserve">14+</w:t>
            </w:r>
          </w:p>
          <w:p>
            <w:pPr>
              <w:jc w:val="center"/>
            </w:pPr>
            <w:r>
              <w:rPr>
                <w:rFonts w:ascii="Arial" w:cs="Arial" w:eastAsia="Arial" w:hAnsi="Arial"/>
                <w:color w:val="555555"/>
                <w:sz w:val="16"/>
                <w:szCs w:val="16"/>
              </w:rPr>
              <w:t xml:space="preserve">Years Enterprise Experience</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jc w:val="center"/>
            </w:pPr>
            <w:r>
              <w:rPr>
                <w:rFonts w:ascii="Arial" w:cs="Arial" w:eastAsia="Arial" w:hAnsi="Arial"/>
                <w:b/>
                <w:bCs/>
                <w:color w:val="1F3864"/>
                <w:sz w:val="36"/>
                <w:szCs w:val="36"/>
              </w:rPr>
              <w:t xml:space="preserve">5,000+</w:t>
            </w:r>
          </w:p>
          <w:p>
            <w:pPr>
              <w:jc w:val="center"/>
            </w:pPr>
            <w:r>
              <w:rPr>
                <w:rFonts w:ascii="Arial" w:cs="Arial" w:eastAsia="Arial" w:hAnsi="Arial"/>
                <w:color w:val="555555"/>
                <w:sz w:val="16"/>
                <w:szCs w:val="16"/>
              </w:rPr>
              <w:t xml:space="preserve">Expert Practitioners Globally</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jc w:val="center"/>
            </w:pPr>
            <w:r>
              <w:rPr>
                <w:rFonts w:ascii="Arial" w:cs="Arial" w:eastAsia="Arial" w:hAnsi="Arial"/>
                <w:b/>
                <w:bCs/>
                <w:color w:val="1F3864"/>
                <w:sz w:val="36"/>
                <w:szCs w:val="36"/>
              </w:rPr>
              <w:t xml:space="preserve">100+</w:t>
            </w:r>
          </w:p>
          <w:p>
            <w:pPr>
              <w:jc w:val="center"/>
            </w:pPr>
            <w:r>
              <w:rPr>
                <w:rFonts w:ascii="Arial" w:cs="Arial" w:eastAsia="Arial" w:hAnsi="Arial"/>
                <w:color w:val="555555"/>
                <w:sz w:val="16"/>
                <w:szCs w:val="16"/>
              </w:rPr>
              <w:t xml:space="preserve">Global Delivery Locations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pPr>
              <w:jc w:val="center"/>
            </w:pPr>
            <w:r>
              <w:rPr>
                <w:rFonts w:ascii="Arial" w:cs="Arial" w:eastAsia="Arial" w:hAnsi="Arial"/>
                <w:b/>
                <w:bCs/>
                <w:color w:val="1F3864"/>
                <w:sz w:val="28"/>
                <w:szCs w:val="28"/>
              </w:rPr>
              <w:t xml:space="preserve">F500</w:t>
            </w:r>
          </w:p>
          <w:p>
            <w:pPr>
              <w:jc w:val="center"/>
            </w:pPr>
            <w:r>
              <w:rPr>
                <w:rFonts w:ascii="Arial" w:cs="Arial" w:eastAsia="Arial" w:hAnsi="Arial"/>
                <w:color w:val="555555"/>
                <w:sz w:val="16"/>
                <w:szCs w:val="16"/>
              </w:rPr>
              <w:t xml:space="preserve">Client Portfolio</w:t>
            </w:r>
          </w:p>
        </w:tc>
      </w:tr>
    </w:tbl>
    <w:p>
      <w:pPr>
        <w:spacing w:before="80" w:after="120"/>
        <w:jc w:val="center"/>
      </w:pPr>
      <w:r>
        <w:rPr>
          <w:rFonts w:ascii="Arial" w:cs="Arial" w:eastAsia="Arial" w:hAnsi="Arial"/>
          <w:color w:val="7F7F7F"/>
          <w:sz w:val="18"/>
          <w:szCs w:val="18"/>
        </w:rPr>
        <w:t xml:space="preserve">VISA | ABB | ADITYA BIRLA | and other Fortune 500 organizations</w:t>
      </w:r>
    </w:p>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The Hidden Performance Risk —</w:t>
      </w:r>
    </w:p>
    <w:p>
      <w:pPr>
        <w:pStyle w:val="Heading2"/>
      </w:pPr>
      <w:r>
        <w:rPr>
          <w:rFonts w:ascii="Arial" w:cs="Arial" w:eastAsia="Arial" w:hAnsi="Arial"/>
          <w:b/>
          <w:bCs/>
          <w:color w:val="1F3864"/>
          <w:sz w:val="28"/>
          <w:szCs w:val="28"/>
        </w:rPr>
        <w:t xml:space="preserve">When Culture Becomes a Liability Instead of an Asset</w:t>
      </w:r>
    </w:p>
    <w:p>
      <w:pPr>
        <w:spacing w:before="60" w:after="80"/>
        <w:jc w:val="left"/>
      </w:pPr>
      <w:r>
        <w:rPr>
          <w:rFonts w:ascii="Arial" w:cs="Arial" w:eastAsia="Arial" w:hAnsi="Arial"/>
          <w:color w:val="333333"/>
          <w:sz w:val="20"/>
          <w:szCs w:val="20"/>
        </w:rPr>
        <w:t xml:space="preserve">Most organizations know workplace culture matters. Few have the diagnostic clarity to see where organizational culture is breaking down — or the structural capability to fix what they find. Without systematic culture transformation consulting, employee experience deteriorates silently until attrition, disengagement, or DEI compliance failures force the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Culture Drift Goes Undetected</w:t>
            </w:r>
          </w:p>
          <w:p>
            <w:pPr>
              <w:spacing w:before="60"/>
            </w:pPr>
            <w:r>
              <w:rPr>
                <w:rFonts w:ascii="Arial" w:cs="Arial" w:eastAsia="Arial" w:hAnsi="Arial"/>
                <w:color w:val="333333"/>
                <w:sz w:val="18"/>
                <w:szCs w:val="18"/>
              </w:rPr>
              <w:t xml:space="preserve">Aspirational values diverge from lived reality. Without systematic organizational culture audit methodology, leadership stays blind to the gap until attrition forces the conversation. Employee experience suffers silently.</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Engagement Surveys That Don’t Drive Action</w:t>
            </w:r>
          </w:p>
          <w:p>
            <w:pPr>
              <w:spacing w:before="60"/>
            </w:pPr>
            <w:r>
              <w:rPr>
                <w:rFonts w:ascii="Arial" w:cs="Arial" w:eastAsia="Arial" w:hAnsi="Arial"/>
                <w:color w:val="333333"/>
                <w:sz w:val="18"/>
                <w:szCs w:val="18"/>
              </w:rPr>
              <w:t xml:space="preserve">Annual surveys generate heat maps — but no root-cause diagnosis, no employee engagement strategy, no eNPS improvement plan tied to business KPIs. Data without intervention delivers nothing.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DEI Commitments Without Diagnostic Foundation</w:t>
            </w:r>
          </w:p>
          <w:p>
            <w:pPr>
              <w:spacing w:before="60"/>
            </w:pPr>
            <w:r>
              <w:rPr>
                <w:rFonts w:ascii="Arial" w:cs="Arial" w:eastAsia="Arial" w:hAnsi="Arial"/>
                <w:color w:val="333333"/>
                <w:sz w:val="18"/>
                <w:szCs w:val="18"/>
              </w:rPr>
              <w:t xml:space="preserve">Diversity programs launch without assessing systemic barriers, inclusion sentiment, pay equity gaps, or DEIB maturity levels — visible effort without structural change or measurable outcomes.</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Service Area —</w:t>
      </w:r>
    </w:p>
    <w:p>
      <w:pPr>
        <w:pStyle w:val="Heading2"/>
      </w:pPr>
      <w:r>
        <w:rPr>
          <w:rFonts w:ascii="Arial" w:cs="Arial" w:eastAsia="Arial" w:hAnsi="Arial"/>
          <w:b/>
          <w:bCs/>
          <w:color w:val="1F3864"/>
          <w:sz w:val="28"/>
          <w:szCs w:val="28"/>
        </w:rPr>
        <w:t xml:space="preserve">Culture Audit — See What’s Really Happening Inside Your Organization</w:t>
      </w:r>
    </w:p>
    <w:p>
      <w:pPr>
        <w:spacing w:before="60" w:after="80"/>
        <w:jc w:val="left"/>
      </w:pPr>
      <w:r>
        <w:rPr>
          <w:rFonts w:ascii="Arial" w:cs="Arial" w:eastAsia="Arial" w:hAnsi="Arial"/>
          <w:color w:val="333333"/>
          <w:sz w:val="20"/>
          <w:szCs w:val="20"/>
        </w:rPr>
        <w:t xml:space="preserve">A corporate culture audit maps the gap between your organization’s stated values and the behaviours, rituals, and power dynamics that actually drive daily decisions. Edstellar’s culture transformation consulting practice deploys a multi-method approach — quantitative measurement combined with qualitative depth — to produce a culture health profile with prioritised intervention recommendations your leadership team can act on within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pPr>
            <w:r>
              <w:rPr>
                <w:rFonts w:ascii="Arial" w:cs="Arial" w:eastAsia="Arial" w:hAnsi="Arial"/>
                <w:sz w:val="18"/>
                <w:szCs w:val="18"/>
              </w:rPr>
              <w:t xml:space="preserve">Values-behaviour gap analysis across leadership layers and business units — measuring lived culture vs aspirational values</w:t>
            </w:r>
          </w:p>
          <w:p>
            <w:pPr>
              <w:pStyle w:val="ListParagraph"/>
              <w:numPr>
                <w:ilvl w:val="0"/>
                <w:numId w:val="2"/>
              </w:numPr>
            </w:pPr>
            <w:r>
              <w:rPr>
                <w:rFonts w:ascii="Arial" w:cs="Arial" w:eastAsia="Arial" w:hAnsi="Arial"/>
                <w:sz w:val="18"/>
                <w:szCs w:val="18"/>
              </w:rPr>
              <w:t xml:space="preserve">Qualitative deep-dives: focus groups, leadership interviews, artifact review, and behavioural observation</w:t>
            </w:r>
          </w:p>
          <w:p>
            <w:pPr>
              <w:pStyle w:val="ListParagraph"/>
              <w:numPr>
                <w:ilvl w:val="0"/>
                <w:numId w:val="2"/>
              </w:numPr>
            </w:pPr>
            <w:r>
              <w:rPr>
                <w:rFonts w:ascii="Arial" w:cs="Arial" w:eastAsia="Arial" w:hAnsi="Arial"/>
                <w:sz w:val="18"/>
                <w:szCs w:val="18"/>
              </w:rPr>
              <w:t xml:space="preserve">Culture health scorecard with dimension-level scoring across psychological safety, innovation climate, accountability, and leadership trust</w:t>
            </w:r>
          </w:p>
          <w:p>
            <w:pPr>
              <w:pStyle w:val="ListParagraph"/>
              <w:numPr>
                <w:ilvl w:val="0"/>
                <w:numId w:val="2"/>
              </w:numPr>
            </w:pPr>
            <w:r>
              <w:rPr>
                <w:rFonts w:ascii="Arial" w:cs="Arial" w:eastAsia="Arial" w:hAnsi="Arial"/>
                <w:sz w:val="18"/>
                <w:szCs w:val="18"/>
              </w:rPr>
              <w:t xml:space="preserve">Culture due diligence for M&amp;A integration — post-merger culture integration assessment and change readiness mapping</w:t>
            </w:r>
          </w:p>
          <w:p>
            <w:pPr>
              <w:pStyle w:val="ListParagraph"/>
              <w:numPr>
                <w:ilvl w:val="0"/>
                <w:numId w:val="2"/>
              </w:numPr>
            </w:pPr>
            <w:r>
              <w:rPr>
                <w:rFonts w:ascii="Arial" w:cs="Arial" w:eastAsia="Arial" w:hAnsi="Arial"/>
                <w:sz w:val="18"/>
                <w:szCs w:val="18"/>
              </w:rPr>
              <w:t xml:space="preserve">Hybrid work culture and remote team culture health diagnostics for distributed organizations</w:t>
            </w:r>
          </w:p>
          <w:p>
            <w:pPr>
              <w:pStyle w:val="ListParagraph"/>
              <w:numPr>
                <w:ilvl w:val="0"/>
                <w:numId w:val="2"/>
              </w:numPr>
            </w:pPr>
            <w:r>
              <w:rPr>
                <w:rFonts w:ascii="Arial" w:cs="Arial" w:eastAsia="Arial" w:hAnsi="Arial"/>
                <w:sz w:val="18"/>
                <w:szCs w:val="18"/>
              </w:rPr>
              <w:t xml:space="preserve">Prioritised action roadmap tied to organisational KPIs and transformation goals</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18"/>
                <w:szCs w:val="18"/>
              </w:rPr>
              <w:t xml:space="preserve">CULTURE HEALTH SCORECARD</w:t>
            </w:r>
          </w:p>
          <w:tbl>
            <w:tblPr>
              <w:tblW w:type="dxa" w:w="3660"/>
              <w:tblBorders>
                <w:top w:val="single" w:color="auto" w:sz="4"/>
                <w:left w:val="single" w:color="auto" w:sz="4"/>
                <w:bottom w:val="single" w:color="auto" w:sz="4"/>
                <w:right w:val="single" w:color="auto" w:sz="4"/>
                <w:insideH w:val="single" w:color="auto" w:sz="4"/>
                <w:insideV w:val="single" w:color="auto" w:sz="4"/>
              </w:tblBorders>
            </w:tblPr>
            <w:tblGrid>
              <w:gridCol w:w="2200"/>
              <w:gridCol w:w="14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DIMENSION</w:t>
                  </w:r>
                </w:p>
              </w:tc>
              <w:tc>
                <w:tcPr>
                  <w:tcW w:type="dxa" w:w="14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SCORE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Values Alignment</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74%</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Leadership Trust</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54%</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Psych. Safety</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60%</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Communication</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82%</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Innovation Climate</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C00000"/>
                      <w:sz w:val="20"/>
                      <w:szCs w:val="20"/>
                    </w:rPr>
                    <w:t xml:space="preserve">44%</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Accountability</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68%</w:t>
                  </w:r>
                </w:p>
              </w:tc>
            </w:tr>
          </w:tbl>
          <w:p>
            <w:pPr>
              <w:spacing w:before="60"/>
            </w:pPr>
            <w:r>
              <w:rPr>
                <w:rFonts w:ascii="Arial" w:cs="Arial" w:eastAsia="Arial" w:hAnsi="Arial"/>
                <w:color w:val="7F7F7F"/>
                <w:sz w:val="15"/>
                <w:szCs w:val="15"/>
              </w:rPr>
              <w:t xml:space="preserve">● Healthy (70%+)  ● At Risk (50–69%)  ● Critical (&lt;50%)</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Service Area —</w:t>
      </w:r>
    </w:p>
    <w:p>
      <w:pPr>
        <w:pStyle w:val="Heading2"/>
      </w:pPr>
      <w:r>
        <w:rPr>
          <w:rFonts w:ascii="Arial" w:cs="Arial" w:eastAsia="Arial" w:hAnsi="Arial"/>
          <w:b/>
          <w:bCs/>
          <w:color w:val="1F3864"/>
          <w:sz w:val="28"/>
          <w:szCs w:val="28"/>
        </w:rPr>
        <w:t xml:space="preserve">Employee Engagement Surveys &amp; Strategy That Actually Move the Needle</w:t>
      </w:r>
    </w:p>
    <w:p>
      <w:pPr>
        <w:spacing w:before="60" w:after="80"/>
        <w:jc w:val="left"/>
      </w:pPr>
      <w:r>
        <w:rPr>
          <w:rFonts w:ascii="Arial" w:cs="Arial" w:eastAsia="Arial" w:hAnsi="Arial"/>
          <w:color w:val="333333"/>
          <w:sz w:val="20"/>
          <w:szCs w:val="20"/>
        </w:rPr>
        <w:t xml:space="preserve">Edstellar’s employee engagement consulting practice starts where generic tools stop — designing custom survey instruments and employee listening strategies calibrated to your organisational context, then translating scores into structural interventions that address root causes, not symptoms. Every engagement strategy links directly to business outcomes your CHRO can present to the board, with eNPS tracking and attrition risk analysis built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pPr>
            <w:r>
              <w:rPr>
                <w:rFonts w:ascii="Arial" w:cs="Arial" w:eastAsia="Arial" w:hAnsi="Arial"/>
                <w:sz w:val="18"/>
                <w:szCs w:val="18"/>
              </w:rPr>
              <w:t xml:space="preserve">Custom employee engagement survey instrument design aligned to organisational maturity, workforce lifecycle stage, and strategic goals</w:t>
            </w:r>
          </w:p>
          <w:p>
            <w:pPr>
              <w:pStyle w:val="ListParagraph"/>
              <w:numPr>
                <w:ilvl w:val="0"/>
                <w:numId w:val="2"/>
              </w:numPr>
            </w:pPr>
            <w:r>
              <w:rPr>
                <w:rFonts w:ascii="Arial" w:cs="Arial" w:eastAsia="Arial" w:hAnsi="Arial"/>
                <w:sz w:val="18"/>
                <w:szCs w:val="18"/>
              </w:rPr>
              <w:t xml:space="preserve">Driver analysis isolating structural, managerial, and environmental root causes of disengagement and quiet quitting risk</w:t>
            </w:r>
          </w:p>
          <w:p>
            <w:pPr>
              <w:pStyle w:val="ListParagraph"/>
              <w:numPr>
                <w:ilvl w:val="0"/>
                <w:numId w:val="2"/>
              </w:numPr>
            </w:pPr>
            <w:r>
              <w:rPr>
                <w:rFonts w:ascii="Arial" w:cs="Arial" w:eastAsia="Arial" w:hAnsi="Arial"/>
                <w:sz w:val="18"/>
                <w:szCs w:val="18"/>
              </w:rPr>
              <w:t xml:space="preserve">Employee Net Promoter Score (eNPS) baseline, benchmarking, and improvement planning</w:t>
            </w:r>
          </w:p>
          <w:p>
            <w:pPr>
              <w:pStyle w:val="ListParagraph"/>
              <w:numPr>
                <w:ilvl w:val="0"/>
                <w:numId w:val="2"/>
              </w:numPr>
            </w:pPr>
            <w:r>
              <w:rPr>
                <w:rFonts w:ascii="Arial" w:cs="Arial" w:eastAsia="Arial" w:hAnsi="Arial"/>
                <w:sz w:val="18"/>
                <w:szCs w:val="18"/>
              </w:rPr>
              <w:t xml:space="preserve">Segmented insights by function, geography, tenure, and management layer — including manager effectiveness scoring</w:t>
            </w:r>
          </w:p>
          <w:p>
            <w:pPr>
              <w:pStyle w:val="ListParagraph"/>
              <w:numPr>
                <w:ilvl w:val="0"/>
                <w:numId w:val="2"/>
              </w:numPr>
            </w:pPr>
            <w:r>
              <w:rPr>
                <w:rFonts w:ascii="Arial" w:cs="Arial" w:eastAsia="Arial" w:hAnsi="Arial"/>
                <w:sz w:val="18"/>
                <w:szCs w:val="18"/>
              </w:rPr>
              <w:t xml:space="preserve">Attrition risk analysis identifying which talent segments are most vulnerable to turnover and why</w:t>
            </w:r>
          </w:p>
          <w:p>
            <w:pPr>
              <w:pStyle w:val="ListParagraph"/>
              <w:numPr>
                <w:ilvl w:val="0"/>
                <w:numId w:val="2"/>
              </w:numPr>
            </w:pPr>
            <w:r>
              <w:rPr>
                <w:rFonts w:ascii="Arial" w:cs="Arial" w:eastAsia="Arial" w:hAnsi="Arial"/>
                <w:sz w:val="18"/>
                <w:szCs w:val="18"/>
              </w:rPr>
              <w:t xml:space="preserve">Pulse measurement cadence to track impact over 90/180/360 days with engagement action planning</w:t>
            </w:r>
          </w:p>
          <w:p>
            <w:pPr>
              <w:pStyle w:val="ListParagraph"/>
              <w:numPr>
                <w:ilvl w:val="0"/>
                <w:numId w:val="2"/>
              </w:numPr>
            </w:pPr>
            <w:r>
              <w:rPr>
                <w:rFonts w:ascii="Arial" w:cs="Arial" w:eastAsia="Arial" w:hAnsi="Arial"/>
                <w:sz w:val="18"/>
                <w:szCs w:val="18"/>
              </w:rPr>
              <w:t xml:space="preserve">Employee wellbeing strategy integration alongside engagement measurement for holistic workforce insight</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18"/>
                <w:szCs w:val="18"/>
              </w:rPr>
              <w:t xml:space="preserve">ENGAGEMENT DRIVER ANALYSIS</w:t>
            </w:r>
          </w:p>
          <w:tbl>
            <w:tblPr>
              <w:tblW w:type="dxa" w:w="3660"/>
              <w:tblBorders>
                <w:top w:val="single" w:color="auto" w:sz="4"/>
                <w:left w:val="single" w:color="auto" w:sz="4"/>
                <w:bottom w:val="single" w:color="auto" w:sz="4"/>
                <w:right w:val="single" w:color="auto" w:sz="4"/>
                <w:insideH w:val="single" w:color="auto" w:sz="4"/>
                <w:insideV w:val="single" w:color="auto" w:sz="4"/>
              </w:tblBorders>
            </w:tblPr>
            <w:tblGrid>
              <w:gridCol w:w="1100"/>
              <w:gridCol w:w="1560"/>
              <w:gridCol w:w="1000"/>
            </w:tblGrid>
            <w:tr>
              <w:tc>
                <w:tcPr>
                  <w:tcW w:type="dxa" w:w="11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CODE</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DRIVER</w:t>
                  </w:r>
                </w:p>
              </w:tc>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PD</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Professional Development</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CELEBRATE</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MGR</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Manager Effectiveness</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C00000"/>
                      <w:sz w:val="20"/>
                      <w:szCs w:val="20"/>
                    </w:rPr>
                    <w:t xml:space="preserve">FIX NOW</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BEN</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Benefits</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MAINTAIN</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REC</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Recognition</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C00000"/>
                      <w:sz w:val="20"/>
                      <w:szCs w:val="20"/>
                    </w:rPr>
                    <w:t xml:space="preserve">FIX NOW</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TEA</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Teamwork</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CELEBRATE</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COM</w:t>
                  </w:r>
                </w:p>
              </w:tc>
              <w:tc>
                <w:tcPr>
                  <w:tcW w:type="dxa" w:w="1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Compensation</w:t>
                  </w:r>
                </w:p>
              </w:tc>
              <w:tc>
                <w:tcPr>
                  <w:tcW w:type="dxa" w:w="1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MONITOR</w:t>
                  </w:r>
                </w:p>
              </w:tc>
            </w:tr>
          </w:tbl>
          <w:p>
            <w:pPr>
              <w:spacing w:before="60"/>
            </w:pPr>
            <w:r>
              <w:rPr>
                <w:rFonts w:ascii="Arial" w:cs="Arial" w:eastAsia="Arial" w:hAnsi="Arial"/>
                <w:i/>
                <w:iCs/>
                <w:color w:val="7F7F7F"/>
                <w:sz w:val="15"/>
                <w:szCs w:val="15"/>
              </w:rPr>
              <w:t xml:space="preserve">● FIX NOW = high impact, low score | Larger circle = higher urgency</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Service Area —</w:t>
      </w:r>
    </w:p>
    <w:p>
      <w:pPr>
        <w:pStyle w:val="Heading2"/>
      </w:pPr>
      <w:r>
        <w:rPr>
          <w:rFonts w:ascii="Arial" w:cs="Arial" w:eastAsia="Arial" w:hAnsi="Arial"/>
          <w:b/>
          <w:bCs/>
          <w:color w:val="1F3864"/>
          <w:sz w:val="28"/>
          <w:szCs w:val="28"/>
        </w:rPr>
        <w:t xml:space="preserve">DEI Diagnostics &amp; Readiness — Build Inclusion on Evidence, Not Assumptions</w:t>
      </w:r>
    </w:p>
    <w:p>
      <w:pPr>
        <w:spacing w:before="60" w:after="80"/>
        <w:jc w:val="left"/>
      </w:pPr>
      <w:r>
        <w:rPr>
          <w:rFonts w:ascii="Arial" w:cs="Arial" w:eastAsia="Arial" w:hAnsi="Arial"/>
          <w:color w:val="333333"/>
          <w:sz w:val="20"/>
          <w:szCs w:val="20"/>
        </w:rPr>
        <w:t xml:space="preserve">Edstellar’s DEI consulting and DEIB readiness practice assesses six dimensions of organisational readiness — policy infrastructure, leadership capability, hiring equity, promotion patterns, inclusion sentiment, and systemic accessibility — producing a DEI maturity scorecard that tells your leadership team exactly where structural barriers exist and what to address first. Our diversity equity and inclusion consulting is grounded in people analytics, not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pStyle w:val="ListParagraph"/>
              <w:numPr>
                <w:ilvl w:val="0"/>
                <w:numId w:val="2"/>
              </w:numPr>
            </w:pPr>
            <w:r>
              <w:rPr>
                <w:rFonts w:ascii="Arial" w:cs="Arial" w:eastAsia="Arial" w:hAnsi="Arial"/>
                <w:sz w:val="18"/>
                <w:szCs w:val="18"/>
              </w:rPr>
              <w:t xml:space="preserve">Six-dimension DEIB maturity assessment with scored readiness levels across policy, leadership, hiring, promotion, sentiment, and accessibility</w:t>
            </w:r>
          </w:p>
          <w:p>
            <w:pPr>
              <w:pStyle w:val="ListParagraph"/>
              <w:numPr>
                <w:ilvl w:val="0"/>
                <w:numId w:val="2"/>
              </w:numPr>
            </w:pPr>
            <w:r>
              <w:rPr>
                <w:rFonts w:ascii="Arial" w:cs="Arial" w:eastAsia="Arial" w:hAnsi="Arial"/>
                <w:sz w:val="18"/>
                <w:szCs w:val="18"/>
              </w:rPr>
              <w:t xml:space="preserve">Inclusion sentiment survey with demographic intersection analysis and workplace belonging measurement</w:t>
            </w:r>
          </w:p>
          <w:p>
            <w:pPr>
              <w:pStyle w:val="ListParagraph"/>
              <w:numPr>
                <w:ilvl w:val="0"/>
                <w:numId w:val="2"/>
              </w:numPr>
            </w:pPr>
            <w:r>
              <w:rPr>
                <w:rFonts w:ascii="Arial" w:cs="Arial" w:eastAsia="Arial" w:hAnsi="Arial"/>
                <w:sz w:val="18"/>
                <w:szCs w:val="18"/>
              </w:rPr>
              <w:t xml:space="preserve">Systemic barrier mapping across hiring equity, development pathways, and advancement patterns</w:t>
            </w:r>
          </w:p>
          <w:p>
            <w:pPr>
              <w:pStyle w:val="ListParagraph"/>
              <w:numPr>
                <w:ilvl w:val="0"/>
                <w:numId w:val="2"/>
              </w:numPr>
            </w:pPr>
            <w:r>
              <w:rPr>
                <w:rFonts w:ascii="Arial" w:cs="Arial" w:eastAsia="Arial" w:hAnsi="Arial"/>
                <w:sz w:val="18"/>
                <w:szCs w:val="18"/>
              </w:rPr>
              <w:t xml:space="preserve">Pay equity audit and gender equity gap analysis integrated into the DEI readiness assessment</w:t>
            </w:r>
          </w:p>
          <w:p>
            <w:pPr>
              <w:pStyle w:val="ListParagraph"/>
              <w:numPr>
                <w:ilvl w:val="0"/>
                <w:numId w:val="2"/>
              </w:numPr>
            </w:pPr>
            <w:r>
              <w:rPr>
                <w:rFonts w:ascii="Arial" w:cs="Arial" w:eastAsia="Arial" w:hAnsi="Arial"/>
                <w:sz w:val="18"/>
                <w:szCs w:val="18"/>
              </w:rPr>
              <w:t xml:space="preserve">Inclusive leadership capability assessment and unconscious bias diagnostic across management layers</w:t>
            </w:r>
          </w:p>
          <w:p>
            <w:pPr>
              <w:pStyle w:val="ListParagraph"/>
              <w:numPr>
                <w:ilvl w:val="0"/>
                <w:numId w:val="2"/>
              </w:numPr>
            </w:pPr>
            <w:r>
              <w:rPr>
                <w:rFonts w:ascii="Arial" w:cs="Arial" w:eastAsia="Arial" w:hAnsi="Arial"/>
                <w:sz w:val="18"/>
                <w:szCs w:val="18"/>
              </w:rPr>
              <w:t xml:space="preserve">ESG people strategy alignment — connecting DEI maturity to social pillar reporting and stakeholder expectations</w:t>
            </w:r>
          </w:p>
          <w:p>
            <w:pPr>
              <w:pStyle w:val="ListParagraph"/>
              <w:numPr>
                <w:ilvl w:val="0"/>
                <w:numId w:val="2"/>
              </w:numPr>
            </w:pPr>
            <w:r>
              <w:rPr>
                <w:rFonts w:ascii="Arial" w:cs="Arial" w:eastAsia="Arial" w:hAnsi="Arial"/>
                <w:sz w:val="18"/>
                <w:szCs w:val="18"/>
              </w:rPr>
              <w:t xml:space="preserve">Prioritised DEI intervention roadmap with 90-day, 180-day, and annual milestones tied to measurable outcomes</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18"/>
                <w:szCs w:val="18"/>
              </w:rPr>
              <w:t xml:space="preserve">DEI MATURITY SCORECARD</w:t>
            </w:r>
          </w:p>
          <w:tbl>
            <w:tblPr>
              <w:tblW w:type="dxa" w:w="3660"/>
              <w:tblBorders>
                <w:top w:val="single" w:color="auto" w:sz="4"/>
                <w:left w:val="single" w:color="auto" w:sz="4"/>
                <w:bottom w:val="single" w:color="auto" w:sz="4"/>
                <w:right w:val="single" w:color="auto" w:sz="4"/>
                <w:insideH w:val="single" w:color="auto" w:sz="4"/>
                <w:insideV w:val="single" w:color="auto" w:sz="4"/>
              </w:tblBorders>
            </w:tblPr>
            <w:tblGrid>
              <w:gridCol w:w="2200"/>
              <w:gridCol w:w="146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DIMENSION</w:t>
                  </w:r>
                </w:p>
              </w:tc>
              <w:tc>
                <w:tcPr>
                  <w:tcW w:type="dxa" w:w="14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color w:val="FFFFFF"/>
                      <w:sz w:val="20"/>
                      <w:szCs w:val="20"/>
                    </w:rPr>
                    <w:t xml:space="preserve">MATURITY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Policy Infrastructure</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2E75B6"/>
                      <w:sz w:val="20"/>
                      <w:szCs w:val="20"/>
                    </w:rPr>
                    <w:t xml:space="preserve">4/5</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Leadership Capability</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C00000"/>
                      <w:sz w:val="20"/>
                      <w:szCs w:val="20"/>
                    </w:rPr>
                    <w:t xml:space="preserve">2/5</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Hiring Equity</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3/5</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Promotion Patterns</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C00000"/>
                      <w:sz w:val="20"/>
                      <w:szCs w:val="20"/>
                    </w:rPr>
                    <w:t xml:space="preserve">2/5</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Inclusion Sentiment</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E36C09"/>
                      <w:sz w:val="20"/>
                      <w:szCs w:val="20"/>
                    </w:rPr>
                    <w:t xml:space="preserve">3/5</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color w:val="000000"/>
                      <w:sz w:val="20"/>
                      <w:szCs w:val="20"/>
                    </w:rPr>
                    <w:t xml:space="preserve">Systemic Accessibility</w:t>
                  </w:r>
                </w:p>
              </w:tc>
              <w:tc>
                <w:tcPr>
                  <w:tcW w:type="dxa" w:w="14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color w:val="C00000"/>
                      <w:sz w:val="20"/>
                      <w:szCs w:val="20"/>
                    </w:rPr>
                    <w:t xml:space="preserve">1/5</w:t>
                  </w:r>
                </w:p>
              </w:tc>
            </w:tr>
          </w:tbl>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Edstellar’s Delivery Approach —</w:t>
      </w:r>
    </w:p>
    <w:p>
      <w:pPr>
        <w:pStyle w:val="Heading2"/>
      </w:pPr>
      <w:r>
        <w:rPr>
          <w:rFonts w:ascii="Arial" w:cs="Arial" w:eastAsia="Arial" w:hAnsi="Arial"/>
          <w:b/>
          <w:bCs/>
          <w:color w:val="1F3864"/>
          <w:sz w:val="28"/>
          <w:szCs w:val="28"/>
        </w:rPr>
        <w:t xml:space="preserve">How Edstellar Delivers Culture, Engagement &amp; DEI Consulting</w:t>
      </w:r>
    </w:p>
    <w:p>
      <w:pPr>
        <w:spacing w:before="60" w:after="80"/>
        <w:jc w:val="left"/>
      </w:pPr>
      <w:r>
        <w:rPr>
          <w:rFonts w:ascii="Arial" w:cs="Arial" w:eastAsia="Arial" w:hAnsi="Arial"/>
          <w:color w:val="333333"/>
          <w:sz w:val="20"/>
          <w:szCs w:val="20"/>
        </w:rPr>
        <w:t xml:space="preserve">Four consulting phases combining diagnostic rigour with practical intervention design, employee experience strategy, and sustained people analytics measurement — delivering measurable change across culture, engagement, and DEIB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PHASE 01</w:t>
            </w:r>
          </w:p>
          <w:p>
            <w:r>
              <w:rPr>
                <w:rFonts w:ascii="Arial" w:cs="Arial" w:eastAsia="Arial" w:hAnsi="Arial"/>
                <w:b/>
                <w:bCs/>
                <w:color w:val="1F3864"/>
                <w:sz w:val="18"/>
                <w:szCs w:val="18"/>
              </w:rPr>
              <w:t xml:space="preserve">Scope &amp; Stakeholder Alignment</w:t>
            </w:r>
          </w:p>
          <w:p>
            <w:pPr>
              <w:spacing w:before="60"/>
            </w:pPr>
            <w:r>
              <w:rPr>
                <w:rFonts w:ascii="Arial" w:cs="Arial" w:eastAsia="Arial" w:hAnsi="Arial"/>
                <w:color w:val="333333"/>
                <w:sz w:val="17"/>
                <w:szCs w:val="17"/>
              </w:rPr>
              <w:t xml:space="preserve">Define diagnostic objectives, identify stakeholder groups, establish governance for findings and follow-through. Map employee lifecycle touchpoints.</w:t>
            </w:r>
          </w:p>
          <w:p>
            <w:pPr>
              <w:spacing w:before="60"/>
            </w:pPr>
            <w:r>
              <w:rPr>
                <w:rFonts w:ascii="Arial" w:cs="Arial" w:eastAsia="Arial" w:hAnsi="Arial"/>
                <w:b/>
                <w:bCs/>
                <w:color w:val="2E75B6"/>
                <w:sz w:val="17"/>
                <w:szCs w:val="17"/>
              </w:rPr>
              <w:t xml:space="preserve">⏱ 2–3 Weeks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PHASE 02</w:t>
            </w:r>
          </w:p>
          <w:p>
            <w:r>
              <w:rPr>
                <w:rFonts w:ascii="Arial" w:cs="Arial" w:eastAsia="Arial" w:hAnsi="Arial"/>
                <w:b/>
                <w:bCs/>
                <w:color w:val="1F3864"/>
                <w:sz w:val="18"/>
                <w:szCs w:val="18"/>
              </w:rPr>
              <w:t xml:space="preserve">Data Collection &amp; Diagnosis</w:t>
            </w:r>
          </w:p>
          <w:p>
            <w:pPr>
              <w:spacing w:before="60"/>
            </w:pPr>
            <w:r>
              <w:rPr>
                <w:rFonts w:ascii="Arial" w:cs="Arial" w:eastAsia="Arial" w:hAnsi="Arial"/>
                <w:color w:val="333333"/>
                <w:sz w:val="17"/>
                <w:szCs w:val="17"/>
              </w:rPr>
              <w:t xml:space="preserve">Deploy engagement surveys, conduct culture interviews and focus groups, analyse HR data and people analytics, and synthesise findings into a structured diagnostic report.</w:t>
            </w:r>
          </w:p>
          <w:p>
            <w:pPr>
              <w:spacing w:before="60"/>
            </w:pPr>
            <w:r>
              <w:rPr>
                <w:rFonts w:ascii="Arial" w:cs="Arial" w:eastAsia="Arial" w:hAnsi="Arial"/>
                <w:b/>
                <w:bCs/>
                <w:color w:val="2E75B6"/>
                <w:sz w:val="17"/>
                <w:szCs w:val="17"/>
              </w:rPr>
              <w:t xml:space="preserve">⏱ 4–8 Weeks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PHASE 03</w:t>
            </w:r>
          </w:p>
          <w:p>
            <w:r>
              <w:rPr>
                <w:rFonts w:ascii="Arial" w:cs="Arial" w:eastAsia="Arial" w:hAnsi="Arial"/>
                <w:b/>
                <w:bCs/>
                <w:color w:val="1F3864"/>
                <w:sz w:val="18"/>
                <w:szCs w:val="18"/>
              </w:rPr>
              <w:t xml:space="preserve">Intervention Design &amp; Activation</w:t>
            </w:r>
          </w:p>
          <w:p>
            <w:pPr>
              <w:spacing w:before="60"/>
            </w:pPr>
            <w:r>
              <w:rPr>
                <w:rFonts w:ascii="Arial" w:cs="Arial" w:eastAsia="Arial" w:hAnsi="Arial"/>
                <w:color w:val="333333"/>
                <w:sz w:val="17"/>
                <w:szCs w:val="17"/>
              </w:rPr>
              <w:t xml:space="preserve">Translate findings into a prioritised intervention roadmap — linking recommendations to inclusive leadership training, coaching, OD redesign, pay equity action, or policy change.</w:t>
            </w:r>
          </w:p>
          <w:p>
            <w:pPr>
              <w:spacing w:before="60"/>
            </w:pPr>
            <w:r>
              <w:rPr>
                <w:rFonts w:ascii="Arial" w:cs="Arial" w:eastAsia="Arial" w:hAnsi="Arial"/>
                <w:b/>
                <w:bCs/>
                <w:color w:val="2E75B6"/>
                <w:sz w:val="17"/>
                <w:szCs w:val="17"/>
              </w:rPr>
              <w:t xml:space="preserve">⏱ 4–6 Weeks</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1F3864"/>
                <w:sz w:val="20"/>
                <w:szCs w:val="20"/>
              </w:rPr>
              <w:t xml:space="preserve">PHASE 04</w:t>
            </w:r>
          </w:p>
          <w:p>
            <w:r>
              <w:rPr>
                <w:rFonts w:ascii="Arial" w:cs="Arial" w:eastAsia="Arial" w:hAnsi="Arial"/>
                <w:b/>
                <w:bCs/>
                <w:color w:val="1F3864"/>
                <w:sz w:val="18"/>
                <w:szCs w:val="18"/>
              </w:rPr>
              <w:t xml:space="preserve">Sustained Measurement &amp; Calibration</w:t>
            </w:r>
          </w:p>
          <w:p>
            <w:pPr>
              <w:spacing w:before="60"/>
            </w:pPr>
            <w:r>
              <w:rPr>
                <w:rFonts w:ascii="Arial" w:cs="Arial" w:eastAsia="Arial" w:hAnsi="Arial"/>
                <w:color w:val="333333"/>
                <w:sz w:val="17"/>
                <w:szCs w:val="17"/>
              </w:rPr>
              <w:t xml:space="preserve">Implement pulse surveys, track eNPS and KPI movement, conduct quarterly calibration reviews, and refine the roadmap based on outcomes and emerging employee experience signals.</w:t>
            </w:r>
          </w:p>
          <w:p>
            <w:pPr>
              <w:spacing w:before="60"/>
            </w:pPr>
            <w:r>
              <w:rPr>
                <w:rFonts w:ascii="Arial" w:cs="Arial" w:eastAsia="Arial" w:hAnsi="Arial"/>
                <w:b/>
                <w:bCs/>
                <w:color w:val="2E75B6"/>
                <w:sz w:val="17"/>
                <w:szCs w:val="17"/>
              </w:rPr>
              <w:t xml:space="preserve">⏱ Ongoing</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top"/>
          </w:tcPr>
          <w:p>
            <w:r>
              <w:rPr>
                <w:rFonts w:ascii="Arial" w:cs="Arial" w:eastAsia="Arial" w:hAnsi="Arial"/>
                <w:i/>
                <w:iCs/>
                <w:color w:val="333333"/>
                <w:sz w:val="20"/>
                <w:szCs w:val="20"/>
              </w:rPr>
              <w:t xml:space="preserve">“The culture audit gave us the first honest mirror we’d had in years. Edstellar gave us a prioritised roadmap our leadership team could act on immediately. The DEI readiness assessment has become our baseline for every inclusion initiative since — it’s the foundation of our entire DEIB and employee experience strategy.”</w:t>
            </w:r>
          </w:p>
          <w:p>
            <w:pPr>
              <w:spacing w:before="80"/>
            </w:pPr>
            <w:r>
              <w:rPr>
                <w:rFonts w:ascii="Arial" w:cs="Arial" w:eastAsia="Arial" w:hAnsi="Arial"/>
                <w:b/>
                <w:bCs/>
                <w:color w:val="1F3864"/>
                <w:sz w:val="18"/>
                <w:szCs w:val="18"/>
              </w:rPr>
              <w:t xml:space="preserve">— CHRO, Fortune 500 Technology Company</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Downloadable Framework —</w:t>
      </w:r>
    </w:p>
    <w:p>
      <w:pPr>
        <w:pStyle w:val="Heading2"/>
      </w:pPr>
      <w:r>
        <w:rPr>
          <w:rFonts w:ascii="Arial" w:cs="Arial" w:eastAsia="Arial" w:hAnsi="Arial"/>
          <w:b/>
          <w:bCs/>
          <w:color w:val="1F3864"/>
          <w:sz w:val="28"/>
          <w:szCs w:val="28"/>
        </w:rPr>
        <w:t xml:space="preserve">Download: Culture &amp; DEI Diagnostic Framework</w:t>
      </w:r>
    </w:p>
    <w:p>
      <w:pPr>
        <w:spacing w:before="60" w:after="80"/>
        <w:jc w:val="left"/>
      </w:pPr>
      <w:r>
        <w:rPr>
          <w:rFonts w:ascii="Arial" w:cs="Arial" w:eastAsia="Arial" w:hAnsi="Arial"/>
          <w:color w:val="333333"/>
          <w:sz w:val="20"/>
          <w:szCs w:val="20"/>
        </w:rPr>
        <w:t xml:space="preserve">Sample framework covering culture audit structure, employee engagement diagnostic methodology, DEI readiness scoring, DEIB maturity model definitions, and output formats — built from 14+ years of enterprise culture transformation consulting.</w:t>
      </w:r>
    </w:p>
    <w:p>
      <w:pPr>
        <w:spacing w:before="60" w:after="120"/>
        <w:jc w:val="left"/>
      </w:pPr>
      <w:r>
        <w:rPr>
          <w:rFonts w:ascii="Arial" w:cs="Arial" w:eastAsia="Arial" w:hAnsi="Arial"/>
          <w:b/>
          <w:bCs/>
          <w:color w:val="2E75B6"/>
          <w:sz w:val="20"/>
          <w:szCs w:val="20"/>
        </w:rPr>
        <w:t xml:space="preserve">→ Download Framework (PDF)</w:t>
      </w:r>
    </w:p>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Connected Services —</w:t>
      </w:r>
    </w:p>
    <w:p>
      <w:pPr>
        <w:pStyle w:val="Heading2"/>
      </w:pPr>
      <w:r>
        <w:rPr>
          <w:rFonts w:ascii="Arial" w:cs="Arial" w:eastAsia="Arial" w:hAnsi="Arial"/>
          <w:b/>
          <w:bCs/>
          <w:color w:val="1F3864"/>
          <w:sz w:val="28"/>
          <w:szCs w:val="28"/>
        </w:rPr>
        <w:t xml:space="preserve">From Culture Insight to Capability Action</w:t>
      </w:r>
    </w:p>
    <w:p>
      <w:pPr>
        <w:spacing w:before="60" w:after="80"/>
        <w:jc w:val="left"/>
      </w:pPr>
      <w:r>
        <w:rPr>
          <w:rFonts w:ascii="Arial" w:cs="Arial" w:eastAsia="Arial" w:hAnsi="Arial"/>
          <w:color w:val="333333"/>
          <w:sz w:val="20"/>
          <w:szCs w:val="20"/>
        </w:rPr>
        <w:t xml:space="preserve">Culture, engagement, and DEI findings connect directly to Edstellar’s integrated service ecosystem — from diagnosis to measurable intervention across all organizational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7F7F7F"/>
                <w:sz w:val="16"/>
                <w:szCs w:val="16"/>
              </w:rPr>
              <w:t xml:space="preserve">OD Consulting</w:t>
            </w:r>
          </w:p>
          <w:p>
            <w:r>
              <w:rPr>
                <w:rFonts w:ascii="Arial" w:cs="Arial" w:eastAsia="Arial" w:hAnsi="Arial"/>
                <w:b/>
                <w:bCs/>
                <w:color w:val="1F3864"/>
                <w:sz w:val="20"/>
                <w:szCs w:val="20"/>
              </w:rPr>
              <w:t xml:space="preserve">Talent Strategy &amp; Capability Building</w:t>
            </w:r>
          </w:p>
          <w:p>
            <w:pPr>
              <w:spacing w:before="60"/>
            </w:pPr>
            <w:r>
              <w:rPr>
                <w:rFonts w:ascii="Arial" w:cs="Arial" w:eastAsia="Arial" w:hAnsi="Arial"/>
                <w:color w:val="333333"/>
                <w:sz w:val="17"/>
                <w:szCs w:val="17"/>
              </w:rPr>
              <w:t xml:space="preserve">Translate culture and engagement findings into competency framework updates, workforce planning adjustments, and career pathing improvements.</w:t>
            </w:r>
          </w:p>
          <w:p>
            <w:pPr>
              <w:spacing w:before="60"/>
            </w:pPr>
            <w:r>
              <w:rPr>
                <w:rFonts w:ascii="Arial" w:cs="Arial" w:eastAsia="Arial" w:hAnsi="Arial"/>
                <w:b/>
                <w:bCs/>
                <w:color w:val="2E75B6"/>
                <w:sz w:val="17"/>
                <w:szCs w:val="17"/>
              </w:rPr>
              <w:t xml:space="preserve">Explore →</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7F7F7F"/>
                <w:sz w:val="16"/>
                <w:szCs w:val="16"/>
              </w:rPr>
              <w:t xml:space="preserve">OD Consulting</w:t>
            </w:r>
          </w:p>
          <w:p>
            <w:r>
              <w:rPr>
                <w:rFonts w:ascii="Arial" w:cs="Arial" w:eastAsia="Arial" w:hAnsi="Arial"/>
                <w:b/>
                <w:bCs/>
                <w:color w:val="1F3864"/>
                <w:sz w:val="20"/>
                <w:szCs w:val="20"/>
              </w:rPr>
              <w:t xml:space="preserve">Leadership &amp; Succession Management</w:t>
            </w:r>
          </w:p>
          <w:p>
            <w:pPr>
              <w:spacing w:before="60"/>
            </w:pPr>
            <w:r>
              <w:rPr>
                <w:rFonts w:ascii="Arial" w:cs="Arial" w:eastAsia="Arial" w:hAnsi="Arial"/>
                <w:color w:val="333333"/>
                <w:sz w:val="17"/>
                <w:szCs w:val="17"/>
              </w:rPr>
              <w:t xml:space="preserve">Connect leadership trust and capability gaps identified in culture audits to targeted succession planning and leadership pipeline development.</w:t>
            </w:r>
          </w:p>
          <w:p>
            <w:pPr>
              <w:spacing w:before="60"/>
            </w:pPr>
            <w:r>
              <w:rPr>
                <w:rFonts w:ascii="Arial" w:cs="Arial" w:eastAsia="Arial" w:hAnsi="Arial"/>
                <w:b/>
                <w:bCs/>
                <w:color w:val="2E75B6"/>
                <w:sz w:val="17"/>
                <w:szCs w:val="17"/>
              </w:rPr>
              <w:t xml:space="preserve">Explore →</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7F7F7F"/>
                <w:sz w:val="16"/>
                <w:szCs w:val="16"/>
              </w:rPr>
              <w:t xml:space="preserve">Diagnostics</w:t>
            </w:r>
          </w:p>
          <w:p>
            <w:r>
              <w:rPr>
                <w:rFonts w:ascii="Arial" w:cs="Arial" w:eastAsia="Arial" w:hAnsi="Arial"/>
                <w:b/>
                <w:bCs/>
                <w:color w:val="1F3864"/>
                <w:sz w:val="20"/>
                <w:szCs w:val="20"/>
              </w:rPr>
              <w:t xml:space="preserve">Talent Diagnostic Solutions</w:t>
            </w:r>
          </w:p>
          <w:p>
            <w:pPr>
              <w:spacing w:before="60"/>
            </w:pPr>
            <w:r>
              <w:rPr>
                <w:rFonts w:ascii="Arial" w:cs="Arial" w:eastAsia="Arial" w:hAnsi="Arial"/>
                <w:color w:val="333333"/>
                <w:sz w:val="17"/>
                <w:szCs w:val="17"/>
              </w:rPr>
              <w:t xml:space="preserve">Deepen culture and engagement insights with psychometric profiling, 360-degree feedback, and competency validation across leadership layers.</w:t>
            </w:r>
          </w:p>
          <w:p>
            <w:pPr>
              <w:spacing w:before="60"/>
            </w:pPr>
            <w:r>
              <w:rPr>
                <w:rFonts w:ascii="Arial" w:cs="Arial" w:eastAsia="Arial" w:hAnsi="Arial"/>
                <w:b/>
                <w:bCs/>
                <w:color w:val="2E75B6"/>
                <w:sz w:val="17"/>
                <w:szCs w:val="17"/>
              </w:rPr>
              <w:t xml:space="preserve">Explore →</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7F7F7F"/>
                <w:sz w:val="16"/>
                <w:szCs w:val="16"/>
              </w:rPr>
              <w:t xml:space="preserve">Training Programs</w:t>
            </w:r>
          </w:p>
          <w:p>
            <w:r>
              <w:rPr>
                <w:rFonts w:ascii="Arial" w:cs="Arial" w:eastAsia="Arial" w:hAnsi="Arial"/>
                <w:b/>
                <w:bCs/>
                <w:color w:val="1F3864"/>
                <w:sz w:val="20"/>
                <w:szCs w:val="20"/>
              </w:rPr>
              <w:t xml:space="preserve">Leadership &amp; Management Training</w:t>
            </w:r>
          </w:p>
          <w:p>
            <w:pPr>
              <w:spacing w:before="60"/>
            </w:pPr>
            <w:r>
              <w:rPr>
                <w:rFonts w:ascii="Arial" w:cs="Arial" w:eastAsia="Arial" w:hAnsi="Arial"/>
                <w:color w:val="333333"/>
                <w:sz w:val="17"/>
                <w:szCs w:val="17"/>
              </w:rPr>
              <w:t xml:space="preserve">Address leadership capability gaps surfaced by culture audits with targeted training programs delivered by 5,000+ expert practitioners globally.</w:t>
            </w:r>
          </w:p>
          <w:p>
            <w:pPr>
              <w:spacing w:before="60"/>
            </w:pPr>
            <w:r>
              <w:rPr>
                <w:rFonts w:ascii="Arial" w:cs="Arial" w:eastAsia="Arial" w:hAnsi="Arial"/>
                <w:b/>
                <w:bCs/>
                <w:color w:val="2E75B6"/>
                <w:sz w:val="17"/>
                <w:szCs w:val="17"/>
              </w:rPr>
              <w:t xml:space="preserve">Explore →</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7F7F7F"/>
                <w:sz w:val="16"/>
                <w:szCs w:val="16"/>
              </w:rPr>
              <w:t xml:space="preserve">Skills Intelligence</w:t>
            </w:r>
          </w:p>
          <w:p>
            <w:r>
              <w:rPr>
                <w:rFonts w:ascii="Arial" w:cs="Arial" w:eastAsia="Arial" w:hAnsi="Arial"/>
                <w:b/>
                <w:bCs/>
                <w:color w:val="1F3864"/>
                <w:sz w:val="20"/>
                <w:szCs w:val="20"/>
              </w:rPr>
              <w:t xml:space="preserve">Skills Gap Analysis &amp; Dashboards</w:t>
            </w:r>
          </w:p>
          <w:p>
            <w:pPr>
              <w:spacing w:before="60"/>
            </w:pPr>
            <w:r>
              <w:rPr>
                <w:rFonts w:ascii="Arial" w:cs="Arial" w:eastAsia="Arial" w:hAnsi="Arial"/>
                <w:color w:val="333333"/>
                <w:sz w:val="17"/>
                <w:szCs w:val="17"/>
              </w:rPr>
              <w:t xml:space="preserve">Integrate culture and DEI readiness data into enterprise skills dashboards for a complete view of organizational capability and inclusion maturity.</w:t>
            </w:r>
          </w:p>
          <w:p>
            <w:pPr>
              <w:spacing w:before="60"/>
            </w:pPr>
            <w:r>
              <w:rPr>
                <w:rFonts w:ascii="Arial" w:cs="Arial" w:eastAsia="Arial" w:hAnsi="Arial"/>
                <w:b/>
                <w:bCs/>
                <w:color w:val="2E75B6"/>
                <w:sz w:val="17"/>
                <w:szCs w:val="17"/>
              </w:rPr>
              <w:t xml:space="preserve">Explore →</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top"/>
          </w:tcPr>
          <w:p>
            <w:r>
              <w:rPr>
                <w:rFonts w:ascii="Arial" w:cs="Arial" w:eastAsia="Arial" w:hAnsi="Arial"/>
                <w:b/>
                <w:bCs/>
                <w:color w:val="7F7F7F"/>
                <w:sz w:val="16"/>
                <w:szCs w:val="16"/>
              </w:rPr>
              <w:t xml:space="preserve">Managed Training</w:t>
            </w:r>
          </w:p>
          <w:p>
            <w:r>
              <w:rPr>
                <w:rFonts w:ascii="Arial" w:cs="Arial" w:eastAsia="Arial" w:hAnsi="Arial"/>
                <w:b/>
                <w:bCs/>
                <w:color w:val="1F3864"/>
                <w:sz w:val="20"/>
                <w:szCs w:val="20"/>
              </w:rPr>
              <w:t xml:space="preserve">Managed Training Services</w:t>
            </w:r>
          </w:p>
          <w:p>
            <w:pPr>
              <w:spacing w:before="60"/>
            </w:pPr>
            <w:r>
              <w:rPr>
                <w:rFonts w:ascii="Arial" w:cs="Arial" w:eastAsia="Arial" w:hAnsi="Arial"/>
                <w:color w:val="333333"/>
                <w:sz w:val="17"/>
                <w:szCs w:val="17"/>
              </w:rPr>
              <w:t xml:space="preserve">Operationalise culture transformation and DEI interventions at scale through Edstellar’s end-to-end training outsourcing and governance framework.</w:t>
            </w:r>
          </w:p>
          <w:p>
            <w:pPr>
              <w:spacing w:before="60"/>
            </w:pPr>
            <w:r>
              <w:rPr>
                <w:rFonts w:ascii="Arial" w:cs="Arial" w:eastAsia="Arial" w:hAnsi="Arial"/>
                <w:b/>
                <w:bCs/>
                <w:color w:val="2E75B6"/>
                <w:sz w:val="17"/>
                <w:szCs w:val="17"/>
              </w:rPr>
              <w:t xml:space="preserve">Explore →</w:t>
            </w:r>
          </w:p>
        </w:tc>
      </w:tr>
    </w:tbl>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Frequently Asked Questions —</w:t>
      </w:r>
    </w:p>
    <w:p>
      <w:pPr>
        <w:pStyle w:val="Heading2"/>
      </w:pPr>
      <w:r>
        <w:rPr>
          <w:rFonts w:ascii="Arial" w:cs="Arial" w:eastAsia="Arial" w:hAnsi="Arial"/>
          <w:b/>
          <w:bCs/>
          <w:color w:val="1F3864"/>
          <w:sz w:val="28"/>
          <w:szCs w:val="28"/>
        </w:rPr>
        <w:t xml:space="preserve">Culture, Engagement &amp; DEI Consulting — Key Questions</w:t>
      </w:r>
    </w:p>
    <w:p>
      <w:pPr>
        <w:spacing w:before="120" w:after="40"/>
      </w:pPr>
      <w:r>
        <w:rPr>
          <w:rFonts w:ascii="Arial" w:cs="Arial" w:eastAsia="Arial" w:hAnsi="Arial"/>
          <w:b/>
          <w:bCs/>
          <w:color w:val="1F3864"/>
          <w:sz w:val="20"/>
          <w:szCs w:val="20"/>
        </w:rPr>
        <w:t xml:space="preserve">Q: What does a culture audit involve?</w:t>
      </w:r>
    </w:p>
    <w:p>
      <w:pPr>
        <w:spacing w:before="40" w:after="80"/>
      </w:pPr>
      <w:r>
        <w:rPr>
          <w:rFonts w:ascii="Arial" w:cs="Arial" w:eastAsia="Arial" w:hAnsi="Arial"/>
          <w:color w:val="333333"/>
          <w:sz w:val="20"/>
          <w:szCs w:val="20"/>
        </w:rPr>
        <w:t xml:space="preserve">A: Edstellar’s corporate culture audit combines quantitative engagement surveys, qualitative interviews, artifact analysis, and behavioural observation to produce a data-backed view of your organization’s lived culture versus its aspirational values. The output includes a culture health scorecard, psychological safety measurement, attrition risk map, and prioritised action roadmap — practical deliverables your leadership team can act on immediately.</w:t>
      </w:r>
    </w:p>
    <w:p>
      <w:pPr>
        <w:pBdr>
          <w:bottom w:val="single" w:color="2E75B6" w:sz="4"/>
        </w:pBdr>
        <w:spacing w:before="120" w:after="120"/>
      </w:pPr>
    </w:p>
    <w:p>
      <w:pPr>
        <w:spacing w:before="120" w:after="40"/>
      </w:pPr>
      <w:r>
        <w:rPr>
          <w:rFonts w:ascii="Arial" w:cs="Arial" w:eastAsia="Arial" w:hAnsi="Arial"/>
          <w:b/>
          <w:bCs/>
          <w:color w:val="1F3864"/>
          <w:sz w:val="20"/>
          <w:szCs w:val="20"/>
        </w:rPr>
        <w:t xml:space="preserve">Q: How is Edstellar’s engagement survey different from off-the-shelf tools?</w:t>
      </w:r>
    </w:p>
    <w:p>
      <w:pPr>
        <w:spacing w:before="40" w:after="80"/>
      </w:pPr>
      <w:r>
        <w:rPr>
          <w:rFonts w:ascii="Arial" w:cs="Arial" w:eastAsia="Arial" w:hAnsi="Arial"/>
          <w:color w:val="333333"/>
          <w:sz w:val="20"/>
          <w:szCs w:val="20"/>
        </w:rPr>
        <w:t xml:space="preserve">A: We don’t just measure engagement — we build a full employee listening strategy. Our surveys are custom-designed to your organizational context, followed by root-cause analysis, eNPS baseline, attrition risk modelling, and a concrete employee engagement strategy tied to business KPIs, not generic benchmarks. As a specialist employee engagement consulting partner, Edstellar closes the loop from survey to measurable action.</w:t>
      </w:r>
    </w:p>
    <w:p>
      <w:pPr>
        <w:pBdr>
          <w:bottom w:val="single" w:color="2E75B6" w:sz="4"/>
        </w:pBdr>
        <w:spacing w:before="120" w:after="120"/>
      </w:pPr>
    </w:p>
    <w:p>
      <w:pPr>
        <w:spacing w:before="120" w:after="40"/>
      </w:pPr>
      <w:r>
        <w:rPr>
          <w:rFonts w:ascii="Arial" w:cs="Arial" w:eastAsia="Arial" w:hAnsi="Arial"/>
          <w:b/>
          <w:bCs/>
          <w:color w:val="1F3864"/>
          <w:sz w:val="20"/>
          <w:szCs w:val="20"/>
        </w:rPr>
        <w:t xml:space="preserve">Q: What does a DEI readiness assessment cover?</w:t>
      </w:r>
    </w:p>
    <w:p>
      <w:pPr>
        <w:spacing w:before="40" w:after="80"/>
      </w:pPr>
      <w:r>
        <w:rPr>
          <w:rFonts w:ascii="Arial" w:cs="Arial" w:eastAsia="Arial" w:hAnsi="Arial"/>
          <w:color w:val="333333"/>
          <w:sz w:val="20"/>
          <w:szCs w:val="20"/>
        </w:rPr>
        <w:t xml:space="preserve">A: Edstellar’s DEI diagnostics evaluate six dimensions: policy infrastructure, inclusive leadership capability, hiring equity, promotion patterns, inclusion sentiment and workplace belonging, and systemic accessibility. The assessment produces a DEIB maturity scorecard with prioritised intervention recommendations, pay equity gap analysis, and ESG people strategy alignment — giving your leadership team a clear starting point for structural change.</w:t>
      </w:r>
    </w:p>
    <w:p>
      <w:pPr>
        <w:pBdr>
          <w:bottom w:val="single" w:color="2E75B6" w:sz="4"/>
        </w:pBdr>
        <w:spacing w:before="120" w:after="120"/>
      </w:pPr>
    </w:p>
    <w:p>
      <w:pPr>
        <w:spacing w:before="120" w:after="40"/>
      </w:pPr>
      <w:r>
        <w:rPr>
          <w:rFonts w:ascii="Arial" w:cs="Arial" w:eastAsia="Arial" w:hAnsi="Arial"/>
          <w:b/>
          <w:bCs/>
          <w:color w:val="1F3864"/>
          <w:sz w:val="20"/>
          <w:szCs w:val="20"/>
        </w:rPr>
        <w:t xml:space="preserve">Q: Can these services be delivered remotely or in hybrid formats?</w:t>
      </w:r>
    </w:p>
    <w:p>
      <w:pPr>
        <w:spacing w:before="40" w:after="80"/>
      </w:pPr>
      <w:r>
        <w:rPr>
          <w:rFonts w:ascii="Arial" w:cs="Arial" w:eastAsia="Arial" w:hAnsi="Arial"/>
          <w:color w:val="333333"/>
          <w:sz w:val="20"/>
          <w:szCs w:val="20"/>
        </w:rPr>
        <w:t xml:space="preserve">A: Yes. Culture audits, employee engagement surveys, and DEI diagnostics can be delivered through a combination of virtual workshops, digital surveys, remote interviews, and on-site immersion sessions across Edstellar’s 100+ global delivery locations — giving you full flexibility across geographies, time zones, and hybrid work environments.</w:t>
      </w:r>
    </w:p>
    <w:p>
      <w:pPr>
        <w:pBdr>
          <w:bottom w:val="single" w:color="2E75B6" w:sz="4"/>
        </w:pBdr>
        <w:spacing w:before="120" w:after="120"/>
      </w:pPr>
    </w:p>
    <w:p>
      <w:pPr>
        <w:spacing w:before="120" w:after="40"/>
      </w:pPr>
      <w:r>
        <w:rPr>
          <w:rFonts w:ascii="Arial" w:cs="Arial" w:eastAsia="Arial" w:hAnsi="Arial"/>
          <w:b/>
          <w:bCs/>
          <w:color w:val="1F3864"/>
          <w:sz w:val="20"/>
          <w:szCs w:val="20"/>
        </w:rPr>
        <w:t xml:space="preserve">Q: How do culture, engagement, and DEI consulting connect to Edstellar’s other services?</w:t>
      </w:r>
    </w:p>
    <w:p>
      <w:pPr>
        <w:spacing w:before="40" w:after="80"/>
      </w:pPr>
      <w:r>
        <w:rPr>
          <w:rFonts w:ascii="Arial" w:cs="Arial" w:eastAsia="Arial" w:hAnsi="Arial"/>
          <w:color w:val="333333"/>
          <w:sz w:val="20"/>
          <w:szCs w:val="20"/>
        </w:rPr>
        <w:t xml:space="preserve">A: Findings from culture, engagement, and DEI diagnostics directly inform leadership training design, succession planning priorities, competency framework updates, and skills intelligence priorities. Edstellar’s integrated consulting model closes the loop from diagnostic insight to measurable intervention — without switching vendors or rebuilding context.</w:t>
      </w:r>
    </w:p>
    <w:p>
      <w:pPr>
        <w:pBdr>
          <w:bottom w:val="single" w:color="2E75B6" w:sz="4"/>
        </w:pBdr>
        <w:spacing w:before="120" w:after="120"/>
      </w:pPr>
    </w:p>
    <w:p>
      <w:pPr>
        <w:spacing w:before="160" w:after="60"/>
      </w:pPr>
      <w:r>
        <w:rPr>
          <w:rFonts w:ascii="Arial" w:cs="Arial" w:eastAsia="Arial" w:hAnsi="Arial"/>
          <w:b/>
          <w:bCs/>
          <w:caps/>
          <w:color w:val="7F7F7F"/>
          <w:sz w:val="18"/>
          <w:szCs w:val="18"/>
        </w:rPr>
        <w:t xml:space="preserve">— Start the Conversation —</w:t>
      </w:r>
    </w:p>
    <w:p>
      <w:pPr>
        <w:pStyle w:val="Heading2"/>
      </w:pPr>
      <w:r>
        <w:rPr>
          <w:rFonts w:ascii="Arial" w:cs="Arial" w:eastAsia="Arial" w:hAnsi="Arial"/>
          <w:b/>
          <w:bCs/>
          <w:color w:val="1F3864"/>
          <w:sz w:val="28"/>
          <w:szCs w:val="28"/>
        </w:rPr>
        <w:t xml:space="preserve">Ready to See What’s Really Happening Inside Your Organization?</w:t>
      </w:r>
    </w:p>
    <w:p>
      <w:pPr>
        <w:spacing w:before="60" w:after="80"/>
        <w:jc w:val="left"/>
      </w:pPr>
      <w:r>
        <w:rPr>
          <w:rFonts w:ascii="Arial" w:cs="Arial" w:eastAsia="Arial" w:hAnsi="Arial"/>
          <w:color w:val="333333"/>
          <w:sz w:val="20"/>
          <w:szCs w:val="20"/>
        </w:rPr>
        <w:t xml:space="preserve">Start with a culture consultation. Edstellar’s premier OD consulting practice will scope a diagnostic approach tailored to your organizational culture, employee engagement challenges, DEI readiness level, timeline, and strategic priorities.</w:t>
      </w:r>
    </w:p>
    <w:p>
      <w:pPr>
        <w:spacing w:before="60" w:after="120"/>
        <w:jc w:val="left"/>
      </w:pPr>
      <w:r>
        <w:rPr>
          <w:rFonts w:ascii="Arial" w:cs="Arial" w:eastAsia="Arial" w:hAnsi="Arial"/>
          <w:b/>
          <w:bCs/>
          <w:color w:val="2E75B6"/>
          <w:sz w:val="20"/>
          <w:szCs w:val="20"/>
        </w:rPr>
        <w:t xml:space="preserve">→ Request a Culture Consultation    </w:t>
      </w:r>
      <w:r>
        <w:rPr>
          <w:rFonts w:ascii="Arial" w:cs="Arial" w:eastAsia="Arial" w:hAnsi="Arial"/>
          <w:b/>
          <w:bCs/>
          <w:color w:val="2E75B6"/>
          <w:sz w:val="20"/>
          <w:szCs w:val="20"/>
        </w:rPr>
        <w:t xml:space="preserve">→ Back to Consulting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F3864"/>
      <w:sz w:val="28"/>
      <w:szCs w:val="28"/>
    </w:rPr>
  </w:style>
  <w:style w:type="paragraph" w:styleId="Heading3">
    <w:name w:val="Heading 3"/>
    <w:basedOn w:val="Normal"/>
    <w:next w:val="Normal"/>
    <w:qFormat/>
    <w:pPr>
      <w:spacing w:before="16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2026-03-27T05:42:45.772Z</dcterms:created>
  <dcterms:modified xsi:type="dcterms:W3CDTF">2026-03-27T05:42:45.773Z</dcterms:modified>
</cp:coreProperties>
</file>

<file path=docProps/custom.xml><?xml version="1.0" encoding="utf-8"?>
<Properties xmlns="http://schemas.openxmlformats.org/officeDocument/2006/custom-properties" xmlns:vt="http://schemas.openxmlformats.org/officeDocument/2006/docPropsVTypes"/>
</file>