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left"/>
      </w:pPr>
      <w:r>
        <w:rPr>
          <w:rFonts w:ascii="Arial" w:cs="Arial" w:eastAsia="Arial" w:hAnsi="Arial"/>
          <w:color w:val="7F7F7F"/>
          <w:sz w:val="16"/>
          <w:szCs w:val="16"/>
        </w:rPr>
        <w:t xml:space="preserve">Home › Consulting › OD Consulting › Leadership &amp; Succession Management</w:t>
      </w:r>
    </w:p>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OD Consulting — Practice Area 3 —</w:t>
      </w:r>
    </w:p>
    <w:p>
      <w:pPr>
        <w:pStyle w:val="Heading1"/>
      </w:pPr>
      <w:r>
        <w:rPr>
          <w:rFonts w:ascii="Arial" w:cs="Arial" w:eastAsia="Arial" w:hAnsi="Arial"/>
          <w:b/>
          <w:bCs/>
          <w:color w:val="1F3864"/>
          <w:sz w:val="36"/>
          <w:szCs w:val="36"/>
        </w:rPr>
        <w:t xml:space="preserve">Leadership Pipeline &amp; Succession Planning Services</w:t>
      </w:r>
    </w:p>
    <w:p>
      <w:pPr>
        <w:spacing w:before="80" w:after="80"/>
        <w:jc w:val="left"/>
      </w:pPr>
      <w:r>
        <w:rPr>
          <w:rFonts w:ascii="Arial" w:cs="Arial" w:eastAsia="Arial" w:hAnsi="Arial"/>
          <w:b/>
          <w:bCs/>
          <w:color w:val="1F3864"/>
          <w:sz w:val="22"/>
          <w:szCs w:val="22"/>
        </w:rPr>
        <w:t xml:space="preserve">Build leadership depth that outlasts any single leader. </w:t>
      </w:r>
      <w:r>
        <w:rPr>
          <w:rFonts w:ascii="Arial" w:cs="Arial" w:eastAsia="Arial" w:hAnsi="Arial"/>
          <w:color w:val="333333"/>
          <w:sz w:val="20"/>
          <w:szCs w:val="20"/>
        </w:rPr>
        <w:t xml:space="preserve">Edstellar — a premier human capital consulting firm trusted by Fortune 500 enterprises globally — combines executive succession planning, pipeline diagnostics, organizational network intelligence, and social learning architecture to deliver sustainable enterprise leadership continuity and future-ready leadership pipelines.</w:t>
      </w:r>
    </w:p>
    <w:p>
      <w:pPr>
        <w:spacing w:before="60" w:after="120"/>
        <w:jc w:val="left"/>
      </w:pPr>
      <w:r>
        <w:rPr>
          <w:rFonts w:ascii="Arial" w:cs="Arial" w:eastAsia="Arial" w:hAnsi="Arial"/>
          <w:b/>
          <w:bCs/>
          <w:color w:val="2E75B6"/>
          <w:sz w:val="20"/>
          <w:szCs w:val="20"/>
        </w:rPr>
        <w:t xml:space="preserve">→ Request a Succession Diagnostic    </w:t>
      </w:r>
      <w:r>
        <w:rPr>
          <w:rFonts w:ascii="Arial" w:cs="Arial" w:eastAsia="Arial" w:hAnsi="Arial"/>
          <w:b/>
          <w:bCs/>
          <w:color w:val="2E75B6"/>
          <w:sz w:val="20"/>
          <w:szCs w:val="20"/>
        </w:rPr>
        <w:t xml:space="preserve">→ Download Pipeline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jc w:val="center"/>
            </w:pPr>
            <w:r>
              <w:rPr>
                <w:rFonts w:ascii="Arial" w:cs="Arial" w:eastAsia="Arial" w:hAnsi="Arial"/>
                <w:b/>
                <w:bCs/>
                <w:color w:val="1F3864"/>
                <w:sz w:val="36"/>
                <w:szCs w:val="36"/>
              </w:rPr>
              <w:t xml:space="preserve">14+</w:t>
            </w:r>
          </w:p>
          <w:p>
            <w:pPr>
              <w:jc w:val="center"/>
            </w:pPr>
            <w:r>
              <w:rPr>
                <w:rFonts w:ascii="Arial" w:cs="Arial" w:eastAsia="Arial" w:hAnsi="Arial"/>
                <w:color w:val="555555"/>
                <w:sz w:val="16"/>
                <w:szCs w:val="16"/>
              </w:rPr>
              <w:t xml:space="preserve">Years Enterprise Experience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jc w:val="center"/>
            </w:pPr>
            <w:r>
              <w:rPr>
                <w:rFonts w:ascii="Arial" w:cs="Arial" w:eastAsia="Arial" w:hAnsi="Arial"/>
                <w:b/>
                <w:bCs/>
                <w:color w:val="1F3864"/>
                <w:sz w:val="36"/>
                <w:szCs w:val="36"/>
              </w:rPr>
              <w:t xml:space="preserve">5,000+</w:t>
            </w:r>
          </w:p>
          <w:p>
            <w:pPr>
              <w:jc w:val="center"/>
            </w:pPr>
            <w:r>
              <w:rPr>
                <w:rFonts w:ascii="Arial" w:cs="Arial" w:eastAsia="Arial" w:hAnsi="Arial"/>
                <w:color w:val="555555"/>
                <w:sz w:val="16"/>
                <w:szCs w:val="16"/>
              </w:rPr>
              <w:t xml:space="preserve">Expert Practitioners Globally</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jc w:val="center"/>
            </w:pPr>
            <w:r>
              <w:rPr>
                <w:rFonts w:ascii="Arial" w:cs="Arial" w:eastAsia="Arial" w:hAnsi="Arial"/>
                <w:b/>
                <w:bCs/>
                <w:color w:val="1F3864"/>
                <w:sz w:val="36"/>
                <w:szCs w:val="36"/>
              </w:rPr>
              <w:t xml:space="preserve">100+</w:t>
            </w:r>
          </w:p>
          <w:p>
            <w:pPr>
              <w:jc w:val="center"/>
            </w:pPr>
            <w:r>
              <w:rPr>
                <w:rFonts w:ascii="Arial" w:cs="Arial" w:eastAsia="Arial" w:hAnsi="Arial"/>
                <w:color w:val="555555"/>
                <w:sz w:val="16"/>
                <w:szCs w:val="16"/>
              </w:rPr>
              <w:t xml:space="preserve">Global Delivery Locations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jc w:val="center"/>
            </w:pPr>
            <w:r>
              <w:rPr>
                <w:rFonts w:ascii="Arial" w:cs="Arial" w:eastAsia="Arial" w:hAnsi="Arial"/>
                <w:b/>
                <w:bCs/>
                <w:color w:val="1F3864"/>
                <w:sz w:val="28"/>
                <w:szCs w:val="28"/>
              </w:rPr>
              <w:t xml:space="preserve">Fortune 500</w:t>
            </w:r>
          </w:p>
          <w:p>
            <w:pPr>
              <w:jc w:val="center"/>
            </w:pPr>
            <w:r>
              <w:rPr>
                <w:rFonts w:ascii="Arial" w:cs="Arial" w:eastAsia="Arial" w:hAnsi="Arial"/>
                <w:color w:val="555555"/>
                <w:sz w:val="16"/>
                <w:szCs w:val="16"/>
              </w:rPr>
              <w:t xml:space="preserve">Client Portfolio</w:t>
            </w:r>
          </w:p>
        </w:tc>
      </w:tr>
    </w:tbl>
    <w:p>
      <w:pPr>
        <w:spacing w:before="80" w:after="120"/>
        <w:jc w:val="center"/>
      </w:pPr>
      <w:r>
        <w:rPr>
          <w:rFonts w:ascii="Arial" w:cs="Arial" w:eastAsia="Arial" w:hAnsi="Arial"/>
          <w:color w:val="7F7F7F"/>
          <w:sz w:val="18"/>
          <w:szCs w:val="18"/>
        </w:rPr>
        <w:t xml:space="preserve">VISA  |  ABB  |  ADITYA BIRLA  |  and other Fortune 500 organizations</w:t>
      </w:r>
    </w:p>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The Leadership Continuity Challenge —</w:t>
      </w:r>
    </w:p>
    <w:p>
      <w:pPr>
        <w:pStyle w:val="Heading2"/>
      </w:pPr>
      <w:r>
        <w:rPr>
          <w:rFonts w:ascii="Arial" w:cs="Arial" w:eastAsia="Arial" w:hAnsi="Arial"/>
          <w:b/>
          <w:bCs/>
          <w:color w:val="1F3864"/>
          <w:sz w:val="28"/>
          <w:szCs w:val="28"/>
        </w:rPr>
        <w:t xml:space="preserve">Most Succession Plans Fail Because They Start Too Late</w:t>
      </w:r>
    </w:p>
    <w:p>
      <w:pPr>
        <w:spacing w:before="60" w:after="80"/>
        <w:jc w:val="left"/>
      </w:pPr>
      <w:r>
        <w:rPr>
          <w:rFonts w:ascii="Arial" w:cs="Arial" w:eastAsia="Arial" w:hAnsi="Arial"/>
          <w:color w:val="333333"/>
          <w:sz w:val="20"/>
          <w:szCs w:val="20"/>
        </w:rPr>
        <w:t xml:space="preserve">Organizations that treat succession planning as an annual HR exercise — rather than a continuous talent management strategy — face predictable, costly consequences when leadership transitions happen. Without a formal executive succession planning process, leadership bench strength erodes silently until a crisis forces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Pipeline Blind Spots</w:t>
            </w:r>
          </w:p>
          <w:p>
            <w:r>
              <w:rPr>
                <w:rFonts w:ascii="Arial" w:cs="Arial" w:eastAsia="Arial" w:hAnsi="Arial"/>
                <w:color w:val="333333"/>
                <w:sz w:val="18"/>
                <w:szCs w:val="18"/>
              </w:rPr>
              <w:t xml:space="preserve">No objective view of who is ready, who could be ready, and which critical roles have zero succession cover. Without leadership readiness assessments, talent decisions remain reactive.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Tenure-Based Promotions</w:t>
            </w:r>
          </w:p>
          <w:p>
            <w:r>
              <w:rPr>
                <w:rFonts w:ascii="Arial" w:cs="Arial" w:eastAsia="Arial" w:hAnsi="Arial"/>
                <w:color w:val="333333"/>
                <w:sz w:val="18"/>
                <w:szCs w:val="18"/>
              </w:rPr>
              <w:t xml:space="preserve">Leaders promoted for tenure or technical competence — not validated leadership capability, strategic readiness, or high-potential (HiPo) assessment criteria.</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Invisible Networks</w:t>
            </w:r>
          </w:p>
          <w:p>
            <w:r>
              <w:rPr>
                <w:rFonts w:ascii="Arial" w:cs="Arial" w:eastAsia="Arial" w:hAnsi="Arial"/>
                <w:color w:val="333333"/>
                <w:sz w:val="18"/>
                <w:szCs w:val="18"/>
              </w:rPr>
              <w:t xml:space="preserve">Critical knowledge flows, informal influence patterns, and collaboration dependencies hidden from leadership decisions. Organizational network analysis is absent.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Learning in Isolation</w:t>
            </w:r>
          </w:p>
          <w:p>
            <w:r>
              <w:rPr>
                <w:rFonts w:ascii="Arial" w:cs="Arial" w:eastAsia="Arial" w:hAnsi="Arial"/>
                <w:color w:val="333333"/>
                <w:sz w:val="18"/>
                <w:szCs w:val="18"/>
              </w:rPr>
              <w:t xml:space="preserve">No structured mentoring, executive coaching, or peer learning architecture to accelerate leadership development beyond the classroom. Leadership development ROI remains unmeasured.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2F2" w:val="clear"/>
            <w:tcMar>
              <w:top w:type="dxa" w:w="100"/>
              <w:left w:type="dxa" w:w="140"/>
              <w:bottom w:type="dxa" w:w="100"/>
              <w:right w:type="dxa" w:w="140"/>
            </w:tcMar>
            <w:vAlign w:val="top"/>
          </w:tcPr>
          <w:p>
            <w:pPr>
              <w:jc w:val="center"/>
            </w:pPr>
            <w:r>
              <w:rPr>
                <w:rFonts w:ascii="Arial" w:cs="Arial" w:eastAsia="Arial" w:hAnsi="Arial"/>
                <w:b/>
                <w:bCs/>
                <w:color w:val="C00000"/>
                <w:sz w:val="32"/>
                <w:szCs w:val="32"/>
              </w:rPr>
              <w:t xml:space="preserve">Only 11%</w:t>
            </w:r>
          </w:p>
          <w:p>
            <w:pPr>
              <w:jc w:val="center"/>
            </w:pPr>
            <w:r>
              <w:rPr>
                <w:rFonts w:ascii="Arial" w:cs="Arial" w:eastAsia="Arial" w:hAnsi="Arial"/>
                <w:color w:val="333333"/>
                <w:sz w:val="18"/>
                <w:szCs w:val="18"/>
              </w:rPr>
              <w:t xml:space="preserve">of organizations report strong bench strength at all leadership levels</w:t>
            </w:r>
          </w:p>
        </w:tc>
        <w:tc>
          <w:tcPr>
            <w:tcW w:type="dxa" w:w="3120"/>
            <w:tcBorders>
              <w:top w:val="single" w:color="CCCCCC" w:sz="1"/>
              <w:left w:val="single" w:color="CCCCCC" w:sz="1"/>
              <w:bottom w:val="single" w:color="CCCCCC" w:sz="1"/>
              <w:right w:val="single" w:color="CCCCCC" w:sz="1"/>
            </w:tcBorders>
            <w:shd w:fill="FFF2F2" w:val="clear"/>
            <w:tcMar>
              <w:top w:type="dxa" w:w="100"/>
              <w:left w:type="dxa" w:w="140"/>
              <w:bottom w:type="dxa" w:w="100"/>
              <w:right w:type="dxa" w:w="140"/>
            </w:tcMar>
            <w:vAlign w:val="top"/>
          </w:tcPr>
          <w:p>
            <w:pPr>
              <w:jc w:val="center"/>
            </w:pPr>
            <w:r>
              <w:rPr>
                <w:rFonts w:ascii="Arial" w:cs="Arial" w:eastAsia="Arial" w:hAnsi="Arial"/>
                <w:b/>
                <w:bCs/>
                <w:color w:val="C00000"/>
                <w:sz w:val="32"/>
                <w:szCs w:val="32"/>
              </w:rPr>
              <w:t xml:space="preserve">$2.7M</w:t>
            </w:r>
          </w:p>
          <w:p>
            <w:pPr>
              <w:jc w:val="center"/>
            </w:pPr>
            <w:r>
              <w:rPr>
                <w:rFonts w:ascii="Arial" w:cs="Arial" w:eastAsia="Arial" w:hAnsi="Arial"/>
                <w:color w:val="333333"/>
                <w:sz w:val="18"/>
                <w:szCs w:val="18"/>
              </w:rPr>
              <w:t xml:space="preserve">average cost of a failed senior leadership transition</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jc w:val="center"/>
            </w:pPr>
            <w:r>
              <w:rPr>
                <w:rFonts w:ascii="Arial" w:cs="Arial" w:eastAsia="Arial" w:hAnsi="Arial"/>
                <w:b/>
                <w:bCs/>
                <w:color w:val="1F3864"/>
                <w:sz w:val="32"/>
                <w:szCs w:val="32"/>
              </w:rPr>
              <w:t xml:space="preserve">86%</w:t>
            </w:r>
          </w:p>
          <w:p>
            <w:pPr>
              <w:jc w:val="center"/>
            </w:pPr>
            <w:r>
              <w:rPr>
                <w:rFonts w:ascii="Arial" w:cs="Arial" w:eastAsia="Arial" w:hAnsi="Arial"/>
                <w:color w:val="333333"/>
                <w:sz w:val="18"/>
                <w:szCs w:val="18"/>
              </w:rPr>
              <w:t xml:space="preserve">of CHROs say succession planning is a top-3 board priority for 2025</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Service Area A —</w:t>
      </w:r>
    </w:p>
    <w:p>
      <w:pPr>
        <w:pStyle w:val="Heading2"/>
      </w:pPr>
      <w:r>
        <w:rPr>
          <w:rFonts w:ascii="Arial" w:cs="Arial" w:eastAsia="Arial" w:hAnsi="Arial"/>
          <w:b/>
          <w:bCs/>
          <w:color w:val="1F3864"/>
          <w:sz w:val="28"/>
          <w:szCs w:val="28"/>
        </w:rPr>
        <w:t xml:space="preserve">Leadership Pipeline Analysis &amp; Succession Planning</w:t>
      </w:r>
    </w:p>
    <w:p>
      <w:pPr>
        <w:spacing w:before="60" w:after="80"/>
        <w:jc w:val="left"/>
      </w:pPr>
      <w:r>
        <w:rPr>
          <w:rFonts w:ascii="Arial" w:cs="Arial" w:eastAsia="Arial" w:hAnsi="Arial"/>
          <w:color w:val="333333"/>
          <w:sz w:val="20"/>
          <w:szCs w:val="20"/>
        </w:rPr>
        <w:t xml:space="preserve">Map every leadership tier, quantify readiness gaps, and build succession architecture that transforms reactive replacement into proactive, data-driven talent pipeline management. Edstellar’s people strategy consulting practice turns leadership transitions into planned capability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22"/>
                <w:szCs w:val="22"/>
              </w:rPr>
              <w:t xml:space="preserve">From Reactive Replacement to Proactive Pipeline</w:t>
            </w:r>
          </w:p>
          <w:p>
            <w:pPr>
              <w:spacing w:before="80"/>
            </w:pPr>
            <w:r>
              <w:rPr>
                <w:rFonts w:ascii="Arial" w:cs="Arial" w:eastAsia="Arial" w:hAnsi="Arial"/>
                <w:color w:val="333333"/>
                <w:sz w:val="18"/>
                <w:szCs w:val="18"/>
              </w:rPr>
              <w:t xml:space="preserve">Edstellar’s premium succession planning consulting goes beyond 9-box grids. As a specialist human capital consulting partner, we build a complete leadership health map — assessing readiness across four tiers, identifying single points of failure, and designing accelerated leadership development pathways for each successor. Our workforce succession strategy creates organizational resilience that outlasts any single leader.</w:t>
            </w:r>
          </w:p>
          <w:p>
            <w:pPr>
              <w:spacing w:before="100"/>
            </w:pPr>
          </w:p>
          <w:p>
            <w:pPr>
              <w:pStyle w:val="ListParagraph"/>
              <w:numPr>
                <w:ilvl w:val="0"/>
                <w:numId w:val="2"/>
              </w:numPr>
            </w:pPr>
            <w:r>
              <w:rPr>
                <w:rFonts w:ascii="Arial" w:cs="Arial" w:eastAsia="Arial" w:hAnsi="Arial"/>
                <w:sz w:val="18"/>
                <w:szCs w:val="18"/>
              </w:rPr>
              <w:t xml:space="preserve">Multi-tier pipeline mapping from Manager through C-Suite with executive succession readiness scores</w:t>
            </w:r>
          </w:p>
          <w:p>
            <w:pPr>
              <w:pStyle w:val="ListParagraph"/>
              <w:numPr>
                <w:ilvl w:val="0"/>
                <w:numId w:val="2"/>
              </w:numPr>
            </w:pPr>
            <w:r>
              <w:rPr>
                <w:rFonts w:ascii="Arial" w:cs="Arial" w:eastAsia="Arial" w:hAnsi="Arial"/>
                <w:sz w:val="18"/>
                <w:szCs w:val="18"/>
              </w:rPr>
              <w:t xml:space="preserve">Critical role mapping using business impact, vacancy risk criteria, and internal talent mobility analysis</w:t>
            </w:r>
          </w:p>
          <w:p>
            <w:pPr>
              <w:pStyle w:val="ListParagraph"/>
              <w:numPr>
                <w:ilvl w:val="0"/>
                <w:numId w:val="2"/>
              </w:numPr>
            </w:pPr>
            <w:r>
              <w:rPr>
                <w:rFonts w:ascii="Arial" w:cs="Arial" w:eastAsia="Arial" w:hAnsi="Arial"/>
                <w:sz w:val="18"/>
                <w:szCs w:val="18"/>
              </w:rPr>
              <w:t xml:space="preserve">Individual development plans (IDP) tied to assessed leadership gaps and future role requirements</w:t>
            </w:r>
          </w:p>
          <w:p>
            <w:pPr>
              <w:pStyle w:val="ListParagraph"/>
              <w:numPr>
                <w:ilvl w:val="0"/>
                <w:numId w:val="2"/>
              </w:numPr>
            </w:pPr>
            <w:r>
              <w:rPr>
                <w:rFonts w:ascii="Arial" w:cs="Arial" w:eastAsia="Arial" w:hAnsi="Arial"/>
                <w:sz w:val="18"/>
                <w:szCs w:val="18"/>
              </w:rPr>
              <w:t xml:space="preserve">HiPo (high-potential employee) identification and accelerated leadership development program design</w:t>
            </w:r>
          </w:p>
          <w:p>
            <w:pPr>
              <w:pStyle w:val="ListParagraph"/>
              <w:numPr>
                <w:ilvl w:val="0"/>
                <w:numId w:val="2"/>
              </w:numPr>
            </w:pPr>
            <w:r>
              <w:rPr>
                <w:rFonts w:ascii="Arial" w:cs="Arial" w:eastAsia="Arial" w:hAnsi="Arial"/>
                <w:sz w:val="18"/>
                <w:szCs w:val="18"/>
              </w:rPr>
              <w:t xml:space="preserve">Integration with psychometric profiling, 360-degree feedback, and leadership assessment tools</w:t>
            </w:r>
          </w:p>
          <w:p>
            <w:pPr>
              <w:pStyle w:val="ListParagraph"/>
              <w:numPr>
                <w:ilvl w:val="0"/>
                <w:numId w:val="2"/>
              </w:numPr>
            </w:pPr>
            <w:r>
              <w:rPr>
                <w:rFonts w:ascii="Arial" w:cs="Arial" w:eastAsia="Arial" w:hAnsi="Arial"/>
                <w:sz w:val="18"/>
                <w:szCs w:val="18"/>
              </w:rPr>
              <w:t xml:space="preserve">Board-level succession planning and CEO succession planning for C-suite continuity</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18"/>
                <w:szCs w:val="18"/>
              </w:rPr>
              <w:t xml:space="preserve">SUCCESSION ARCHITECTURE</w:t>
            </w:r>
          </w:p>
          <w:p>
            <w:pPr>
              <w:spacing w:before="60"/>
            </w:pPr>
            <w:r>
              <w:rPr>
                <w:rFonts w:ascii="Arial" w:cs="Arial" w:eastAsia="Arial" w:hAnsi="Arial"/>
                <w:b/>
                <w:bCs/>
                <w:sz w:val="18"/>
                <w:szCs w:val="18"/>
              </w:rPr>
              <w:t xml:space="preserve">C-Suite (3 roles)</w:t>
            </w:r>
            <w:r>
              <w:rPr>
                <w:rFonts w:ascii="Arial" w:cs="Arial" w:eastAsia="Arial" w:hAnsi="Arial"/>
                <w:color w:val="2E75B6"/>
                <w:sz w:val="18"/>
                <w:szCs w:val="18"/>
              </w:rPr>
              <w:t xml:space="preserve">   2:1</w:t>
            </w:r>
          </w:p>
          <w:p>
            <w:r>
              <w:rPr>
                <w:rFonts w:ascii="Arial" w:cs="Arial" w:eastAsia="Arial" w:hAnsi="Arial"/>
                <w:b/>
                <w:bCs/>
                <w:sz w:val="18"/>
                <w:szCs w:val="18"/>
              </w:rPr>
              <w:t xml:space="preserve">VP / Director (8 roles)</w:t>
            </w:r>
            <w:r>
              <w:rPr>
                <w:rFonts w:ascii="Arial" w:cs="Arial" w:eastAsia="Arial" w:hAnsi="Arial"/>
                <w:color w:val="2E75B6"/>
                <w:sz w:val="18"/>
                <w:szCs w:val="18"/>
              </w:rPr>
              <w:t xml:space="preserve">   1.5:1</w:t>
            </w:r>
          </w:p>
          <w:p>
            <w:r>
              <w:rPr>
                <w:rFonts w:ascii="Arial" w:cs="Arial" w:eastAsia="Arial" w:hAnsi="Arial"/>
                <w:b/>
                <w:bCs/>
                <w:sz w:val="18"/>
                <w:szCs w:val="18"/>
              </w:rPr>
              <w:t xml:space="preserve">Senior Manager (14 roles)</w:t>
            </w:r>
            <w:r>
              <w:rPr>
                <w:rFonts w:ascii="Arial" w:cs="Arial" w:eastAsia="Arial" w:hAnsi="Arial"/>
                <w:color w:val="E36C09"/>
                <w:sz w:val="18"/>
                <w:szCs w:val="18"/>
              </w:rPr>
              <w:t xml:space="preserve">   0.8:1</w:t>
            </w:r>
          </w:p>
          <w:p>
            <w:r>
              <w:rPr>
                <w:rFonts w:ascii="Arial" w:cs="Arial" w:eastAsia="Arial" w:hAnsi="Arial"/>
                <w:b/>
                <w:bCs/>
                <w:sz w:val="18"/>
                <w:szCs w:val="18"/>
              </w:rPr>
              <w:t xml:space="preserve">Manager (22 roles)</w:t>
            </w:r>
            <w:r>
              <w:rPr>
                <w:rFonts w:ascii="Arial" w:cs="Arial" w:eastAsia="Arial" w:hAnsi="Arial"/>
                <w:color w:val="C00000"/>
                <w:sz w:val="18"/>
                <w:szCs w:val="18"/>
              </w:rPr>
              <w:t xml:space="preserve">   0.4:1</w:t>
            </w:r>
          </w:p>
          <w:p>
            <w:pPr>
              <w:spacing w:before="80"/>
            </w:pPr>
            <w:r>
              <w:rPr>
                <w:rFonts w:ascii="Arial" w:cs="Arial" w:eastAsia="Arial" w:hAnsi="Arial"/>
                <w:color w:val="7F7F7F"/>
                <w:sz w:val="16"/>
                <w:szCs w:val="16"/>
              </w:rPr>
              <w:t xml:space="preserve">Bench Ratio by Tier</w:t>
            </w:r>
          </w:p>
          <w:p>
            <w:r>
              <w:rPr>
                <w:rFonts w:ascii="Arial" w:cs="Arial" w:eastAsia="Arial" w:hAnsi="Arial"/>
                <w:b/>
                <w:bCs/>
                <w:color w:val="E36C09"/>
                <w:sz w:val="16"/>
                <w:szCs w:val="16"/>
              </w:rPr>
              <w:t xml:space="preserve">⚠ Action: Accelerate 8 high-potential managers into Sr. Manager succession track</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Service Area B —</w:t>
      </w:r>
    </w:p>
    <w:p>
      <w:pPr>
        <w:pStyle w:val="Heading2"/>
      </w:pPr>
      <w:r>
        <w:rPr>
          <w:rFonts w:ascii="Arial" w:cs="Arial" w:eastAsia="Arial" w:hAnsi="Arial"/>
          <w:b/>
          <w:bCs/>
          <w:color w:val="1F3864"/>
          <w:sz w:val="28"/>
          <w:szCs w:val="28"/>
        </w:rPr>
        <w:t xml:space="preserve">Organization Network Analysis</w:t>
      </w:r>
    </w:p>
    <w:p>
      <w:pPr>
        <w:spacing w:before="60" w:after="80"/>
        <w:jc w:val="left"/>
      </w:pPr>
      <w:r>
        <w:rPr>
          <w:rFonts w:ascii="Arial" w:cs="Arial" w:eastAsia="Arial" w:hAnsi="Arial"/>
          <w:color w:val="333333"/>
          <w:sz w:val="20"/>
          <w:szCs w:val="20"/>
        </w:rPr>
        <w:t xml:space="preserve">Org charts show reporting lines. Organizational network analysis reveals how work actually flows — the real connectors, knowledge hubs, and collaboration bottlenecks that determine whether your succession planning and talent retention strategy will succeed or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22"/>
                <w:szCs w:val="22"/>
              </w:rPr>
              <w:t xml:space="preserve">See the Organization You Can’t See on Paper</w:t>
            </w:r>
          </w:p>
          <w:p>
            <w:pPr>
              <w:spacing w:before="80"/>
            </w:pPr>
            <w:r>
              <w:rPr>
                <w:rFonts w:ascii="Arial" w:cs="Arial" w:eastAsia="Arial" w:hAnsi="Arial"/>
                <w:color w:val="333333"/>
                <w:sz w:val="18"/>
                <w:szCs w:val="18"/>
              </w:rPr>
              <w:t xml:space="preserve">Edstellar’s Organization Network Analysis (ONA) maps informal influence, collaboration intensity, and knowledge dependencies that traditional structures miss. As a specialist people analytics consulting partner, we surface the human capital risks hidden inside your org chart — reshaping leadership development priorities, mentoring connections, and succession decisions with quantified network intelligence.</w:t>
            </w:r>
          </w:p>
          <w:p>
            <w:pPr>
              <w:spacing w:before="100"/>
            </w:pPr>
          </w:p>
          <w:p>
            <w:pPr>
              <w:pStyle w:val="ListParagraph"/>
              <w:numPr>
                <w:ilvl w:val="0"/>
                <w:numId w:val="2"/>
              </w:numPr>
            </w:pPr>
            <w:r>
              <w:rPr>
                <w:rFonts w:ascii="Arial" w:cs="Arial" w:eastAsia="Arial" w:hAnsi="Arial"/>
                <w:sz w:val="18"/>
                <w:szCs w:val="18"/>
              </w:rPr>
              <w:t xml:space="preserve">Influence mapping identifying informal leaders, knowledge brokers, and critical connectors across the organization</w:t>
            </w:r>
          </w:p>
          <w:p>
            <w:pPr>
              <w:pStyle w:val="ListParagraph"/>
              <w:numPr>
                <w:ilvl w:val="0"/>
                <w:numId w:val="2"/>
              </w:numPr>
            </w:pPr>
            <w:r>
              <w:rPr>
                <w:rFonts w:ascii="Arial" w:cs="Arial" w:eastAsia="Arial" w:hAnsi="Arial"/>
                <w:sz w:val="18"/>
                <w:szCs w:val="18"/>
              </w:rPr>
              <w:t xml:space="preserve">Collaboration bottleneck detection across business units, geographies, and functions</w:t>
            </w:r>
          </w:p>
          <w:p>
            <w:pPr>
              <w:pStyle w:val="ListParagraph"/>
              <w:numPr>
                <w:ilvl w:val="0"/>
                <w:numId w:val="2"/>
              </w:numPr>
            </w:pPr>
            <w:r>
              <w:rPr>
                <w:rFonts w:ascii="Arial" w:cs="Arial" w:eastAsia="Arial" w:hAnsi="Arial"/>
                <w:sz w:val="18"/>
                <w:szCs w:val="18"/>
              </w:rPr>
              <w:t xml:space="preserve">Knowledge dependency risk analysis — single points of failure in institutional expertise and talent concentration risk</w:t>
            </w:r>
          </w:p>
          <w:p>
            <w:pPr>
              <w:pStyle w:val="ListParagraph"/>
              <w:numPr>
                <w:ilvl w:val="0"/>
                <w:numId w:val="2"/>
              </w:numPr>
            </w:pPr>
            <w:r>
              <w:rPr>
                <w:rFonts w:ascii="Arial" w:cs="Arial" w:eastAsia="Arial" w:hAnsi="Arial"/>
                <w:sz w:val="18"/>
                <w:szCs w:val="18"/>
              </w:rPr>
              <w:t xml:space="preserve">Network-informed mentoring design connecting isolated high-potential employees to influence clusters</w:t>
            </w:r>
          </w:p>
          <w:p>
            <w:pPr>
              <w:pStyle w:val="ListParagraph"/>
              <w:numPr>
                <w:ilvl w:val="0"/>
                <w:numId w:val="2"/>
              </w:numPr>
            </w:pPr>
            <w:r>
              <w:rPr>
                <w:rFonts w:ascii="Arial" w:cs="Arial" w:eastAsia="Arial" w:hAnsi="Arial"/>
                <w:sz w:val="18"/>
                <w:szCs w:val="18"/>
              </w:rPr>
              <w:t xml:space="preserve">Leadership risk management insights grounded in real collaboration and knowledge flow data</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18"/>
                <w:szCs w:val="18"/>
              </w:rPr>
              <w:t xml:space="preserve">ORGANIZATION NETWORK MAP</w:t>
            </w:r>
          </w:p>
          <w:p>
            <w:pPr>
              <w:spacing w:before="60"/>
            </w:pPr>
            <w:r>
              <w:rPr>
                <w:rFonts w:ascii="Arial" w:cs="Arial" w:eastAsia="Arial" w:hAnsi="Arial"/>
                <w:b/>
                <w:bCs/>
                <w:color w:val="2E75B6"/>
                <w:sz w:val="18"/>
                <w:szCs w:val="18"/>
              </w:rPr>
              <w:t xml:space="preserve">Key Connector</w:t>
            </w:r>
          </w:p>
          <w:p>
            <w:r>
              <w:rPr>
                <w:rFonts w:ascii="Arial" w:cs="Arial" w:eastAsia="Arial" w:hAnsi="Arial"/>
                <w:color w:val="555555"/>
                <w:sz w:val="16"/>
                <w:szCs w:val="16"/>
              </w:rPr>
              <w:t xml:space="preserve">High Influence Node</w:t>
            </w:r>
          </w:p>
          <w:p>
            <w:pPr>
              <w:spacing w:before="60"/>
            </w:pPr>
            <w:r>
              <w:rPr>
                <w:rFonts w:ascii="Arial" w:cs="Arial" w:eastAsia="Arial" w:hAnsi="Arial"/>
                <w:b/>
                <w:bCs/>
                <w:color w:val="2E75B6"/>
                <w:sz w:val="18"/>
                <w:szCs w:val="18"/>
              </w:rPr>
              <w:t xml:space="preserve">Knowledge Hub</w:t>
            </w:r>
          </w:p>
          <w:p>
            <w:r>
              <w:rPr>
                <w:rFonts w:ascii="Arial" w:cs="Arial" w:eastAsia="Arial" w:hAnsi="Arial"/>
                <w:color w:val="555555"/>
                <w:sz w:val="16"/>
                <w:szCs w:val="16"/>
              </w:rPr>
              <w:t xml:space="preserve">Information Center</w:t>
            </w:r>
          </w:p>
          <w:p>
            <w:pPr>
              <w:spacing w:before="60"/>
            </w:pPr>
            <w:r>
              <w:rPr>
                <w:rFonts w:ascii="Arial" w:cs="Arial" w:eastAsia="Arial" w:hAnsi="Arial"/>
                <w:b/>
                <w:bCs/>
                <w:color w:val="92D050"/>
                <w:sz w:val="18"/>
                <w:szCs w:val="18"/>
              </w:rPr>
              <w:t xml:space="preserve">Bridge Node</w:t>
            </w:r>
          </w:p>
          <w:p>
            <w:r>
              <w:rPr>
                <w:rFonts w:ascii="Arial" w:cs="Arial" w:eastAsia="Arial" w:hAnsi="Arial"/>
                <w:color w:val="555555"/>
                <w:sz w:val="16"/>
                <w:szCs w:val="16"/>
              </w:rPr>
              <w:t xml:space="preserve">Cross-functional Link</w:t>
            </w:r>
          </w:p>
          <w:p>
            <w:pPr>
              <w:spacing w:before="60"/>
            </w:pPr>
            <w:r>
              <w:rPr>
                <w:rFonts w:ascii="Arial" w:cs="Arial" w:eastAsia="Arial" w:hAnsi="Arial"/>
                <w:b/>
                <w:bCs/>
                <w:color w:val="C00000"/>
                <w:sz w:val="18"/>
                <w:szCs w:val="18"/>
              </w:rPr>
              <w:t xml:space="preserve">Bottleneck Risk</w:t>
            </w:r>
          </w:p>
          <w:p>
            <w:r>
              <w:rPr>
                <w:rFonts w:ascii="Arial" w:cs="Arial" w:eastAsia="Arial" w:hAnsi="Arial"/>
                <w:color w:val="555555"/>
                <w:sz w:val="16"/>
                <w:szCs w:val="16"/>
              </w:rPr>
              <w:t xml:space="preserve">At-risk node — leadership gap</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Service Area C —</w:t>
      </w:r>
    </w:p>
    <w:p>
      <w:pPr>
        <w:pStyle w:val="Heading2"/>
      </w:pPr>
      <w:r>
        <w:rPr>
          <w:rFonts w:ascii="Arial" w:cs="Arial" w:eastAsia="Arial" w:hAnsi="Arial"/>
          <w:b/>
          <w:bCs/>
          <w:color w:val="1F3864"/>
          <w:sz w:val="28"/>
          <w:szCs w:val="28"/>
        </w:rPr>
        <w:t xml:space="preserve">Social Learning Design — Mentoring, Coaching, Peer Learning &amp; Communities of Practice</w:t>
      </w:r>
    </w:p>
    <w:p>
      <w:pPr>
        <w:spacing w:before="60" w:after="80"/>
        <w:jc w:val="left"/>
      </w:pPr>
      <w:r>
        <w:rPr>
          <w:rFonts w:ascii="Arial" w:cs="Arial" w:eastAsia="Arial" w:hAnsi="Arial"/>
          <w:color w:val="333333"/>
          <w:sz w:val="20"/>
          <w:szCs w:val="20"/>
        </w:rPr>
        <w:t xml:space="preserve">Classroom training builds knowledge. Strategic social learning architecture builds future-ready leaders. Edstellar’s organizational effectiveness consulting practice designs the governance, matching algorithms, and measurement frameworks for sustainable leadership development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Structured Mentoring</w:t>
            </w:r>
          </w:p>
          <w:p>
            <w:pPr>
              <w:spacing w:before="60"/>
            </w:pPr>
            <w:r>
              <w:rPr>
                <w:rFonts w:ascii="Arial" w:cs="Arial" w:eastAsia="Arial" w:hAnsi="Arial"/>
                <w:color w:val="333333"/>
                <w:sz w:val="17"/>
                <w:szCs w:val="17"/>
              </w:rPr>
              <w:t xml:space="preserve">Formal reverse mentoring and forward mentoring programs with algorithmic matching, structured milestones, and outcome tracking — measurable capability transfer and talent retention impact.</w:t>
            </w:r>
          </w:p>
          <w:p>
            <w:pPr>
              <w:spacing w:before="60"/>
            </w:pPr>
            <w:r>
              <w:rPr>
                <w:rFonts w:ascii="Arial" w:cs="Arial" w:eastAsia="Arial" w:hAnsi="Arial"/>
                <w:b/>
                <w:bCs/>
                <w:color w:val="2E75B6"/>
                <w:sz w:val="16"/>
                <w:szCs w:val="16"/>
              </w:rPr>
              <w:t xml:space="preserve">Matching Framework | Milestone Design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Leadership Coaching</w:t>
            </w:r>
          </w:p>
          <w:p>
            <w:pPr>
              <w:spacing w:before="60"/>
            </w:pPr>
            <w:r>
              <w:rPr>
                <w:rFonts w:ascii="Arial" w:cs="Arial" w:eastAsia="Arial" w:hAnsi="Arial"/>
                <w:color w:val="333333"/>
                <w:sz w:val="17"/>
                <w:szCs w:val="17"/>
              </w:rPr>
              <w:t xml:space="preserve">Executive coaching services tied to 360 feedback, psychometric data, leadership assessment tools, and succession readiness gaps. Measurable ROI tracked against pipeline advancement.</w:t>
            </w:r>
          </w:p>
          <w:p>
            <w:pPr>
              <w:spacing w:before="60"/>
            </w:pPr>
            <w:r>
              <w:rPr>
                <w:rFonts w:ascii="Arial" w:cs="Arial" w:eastAsia="Arial" w:hAnsi="Arial"/>
                <w:b/>
                <w:bCs/>
                <w:color w:val="2E75B6"/>
                <w:sz w:val="16"/>
                <w:szCs w:val="16"/>
              </w:rPr>
              <w:t xml:space="preserve">Diagnostic-Linked | ROI Tracked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Peer Learning Circles</w:t>
            </w:r>
          </w:p>
          <w:p>
            <w:pPr>
              <w:spacing w:before="60"/>
            </w:pPr>
            <w:r>
              <w:rPr>
                <w:rFonts w:ascii="Arial" w:cs="Arial" w:eastAsia="Arial" w:hAnsi="Arial"/>
                <w:color w:val="333333"/>
                <w:sz w:val="17"/>
                <w:szCs w:val="17"/>
              </w:rPr>
              <w:t xml:space="preserve">Curated cohort-based groups where high-potential leaders solve real organizational challenges together. Facilitated, accountable, and embedded in the succession development journey.</w:t>
            </w:r>
          </w:p>
          <w:p>
            <w:pPr>
              <w:spacing w:before="60"/>
            </w:pPr>
            <w:r>
              <w:rPr>
                <w:rFonts w:ascii="Arial" w:cs="Arial" w:eastAsia="Arial" w:hAnsi="Arial"/>
                <w:b/>
                <w:bCs/>
                <w:color w:val="2E75B6"/>
                <w:sz w:val="16"/>
                <w:szCs w:val="16"/>
              </w:rPr>
              <w:t xml:space="preserve">Cohort Design | Facilitated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Communities of Practice</w:t>
            </w:r>
          </w:p>
          <w:p>
            <w:pPr>
              <w:spacing w:before="60"/>
            </w:pPr>
            <w:r>
              <w:rPr>
                <w:rFonts w:ascii="Arial" w:cs="Arial" w:eastAsia="Arial" w:hAnsi="Arial"/>
                <w:color w:val="333333"/>
                <w:sz w:val="17"/>
                <w:szCs w:val="17"/>
              </w:rPr>
              <w:t xml:space="preserve">Cross-functional knowledge-sharing communities with clear charters, cadence, contribution frameworks, and knowledge capture protocols — sustaining organizational learning beyond formal programs.</w:t>
            </w:r>
          </w:p>
          <w:p>
            <w:pPr>
              <w:spacing w:before="60"/>
            </w:pPr>
            <w:r>
              <w:rPr>
                <w:rFonts w:ascii="Arial" w:cs="Arial" w:eastAsia="Arial" w:hAnsi="Arial"/>
                <w:b/>
                <w:bCs/>
                <w:color w:val="2E75B6"/>
                <w:sz w:val="16"/>
                <w:szCs w:val="16"/>
              </w:rPr>
              <w:t xml:space="preserve">Charter Design | Knowledge Capture</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Edstellar’s Delivery Methodology —</w:t>
      </w:r>
    </w:p>
    <w:p>
      <w:pPr>
        <w:pStyle w:val="Heading2"/>
      </w:pPr>
      <w:r>
        <w:rPr>
          <w:rFonts w:ascii="Arial" w:cs="Arial" w:eastAsia="Arial" w:hAnsi="Arial"/>
          <w:b/>
          <w:bCs/>
          <w:color w:val="1F3864"/>
          <w:sz w:val="28"/>
          <w:szCs w:val="28"/>
        </w:rPr>
        <w:t xml:space="preserve">How Edstellar Delivers Leadership &amp; Succession Outcomes</w:t>
      </w:r>
    </w:p>
    <w:p>
      <w:pPr>
        <w:spacing w:before="60" w:after="80"/>
        <w:jc w:val="left"/>
      </w:pPr>
      <w:r>
        <w:rPr>
          <w:rFonts w:ascii="Arial" w:cs="Arial" w:eastAsia="Arial" w:hAnsi="Arial"/>
          <w:color w:val="333333"/>
          <w:sz w:val="20"/>
          <w:szCs w:val="20"/>
        </w:rPr>
        <w:t xml:space="preserve">A phased consulting model from diagnostic clarity to sustained pipeline governance — designed for enterprise organizations navigating CEO succession planning, talent management strategy, and long-term organizational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2E75B6"/>
                <w:sz w:val="32"/>
                <w:szCs w:val="32"/>
              </w:rPr>
              <w:t xml:space="preserve">01</w:t>
            </w:r>
          </w:p>
          <w:p>
            <w:r>
              <w:rPr>
                <w:rFonts w:ascii="Arial" w:cs="Arial" w:eastAsia="Arial" w:hAnsi="Arial"/>
                <w:b/>
                <w:bCs/>
                <w:color w:val="1F3864"/>
                <w:sz w:val="20"/>
                <w:szCs w:val="20"/>
              </w:rPr>
              <w:t xml:space="preserve">Diagnostic Assessment</w:t>
            </w:r>
          </w:p>
          <w:p>
            <w:pPr>
              <w:spacing w:before="60"/>
            </w:pPr>
            <w:r>
              <w:rPr>
                <w:rFonts w:ascii="Arial" w:cs="Arial" w:eastAsia="Arial" w:hAnsi="Arial"/>
                <w:color w:val="333333"/>
                <w:sz w:val="17"/>
                <w:szCs w:val="17"/>
              </w:rPr>
              <w:t xml:space="preserve">Map current pipeline, identify critical role gaps, assess network dynamics, and benchmark leadership bench strength against future role requirements.</w:t>
            </w:r>
          </w:p>
          <w:p>
            <w:pPr>
              <w:spacing w:before="60"/>
            </w:pPr>
            <w:r>
              <w:rPr>
                <w:rFonts w:ascii="Arial" w:cs="Arial" w:eastAsia="Arial" w:hAnsi="Arial"/>
                <w:b/>
                <w:bCs/>
                <w:color w:val="2E75B6"/>
                <w:sz w:val="17"/>
                <w:szCs w:val="17"/>
              </w:rPr>
              <w:t xml:space="preserve">⏱ 3–5 Weeks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2E75B6"/>
                <w:sz w:val="32"/>
                <w:szCs w:val="32"/>
              </w:rPr>
              <w:t xml:space="preserve">02</w:t>
            </w:r>
          </w:p>
          <w:p>
            <w:r>
              <w:rPr>
                <w:rFonts w:ascii="Arial" w:cs="Arial" w:eastAsia="Arial" w:hAnsi="Arial"/>
                <w:b/>
                <w:bCs/>
                <w:color w:val="1F3864"/>
                <w:sz w:val="20"/>
                <w:szCs w:val="20"/>
              </w:rPr>
              <w:t xml:space="preserve">Architecture Design</w:t>
            </w:r>
          </w:p>
          <w:p>
            <w:pPr>
              <w:spacing w:before="60"/>
            </w:pPr>
            <w:r>
              <w:rPr>
                <w:rFonts w:ascii="Arial" w:cs="Arial" w:eastAsia="Arial" w:hAnsi="Arial"/>
                <w:color w:val="333333"/>
                <w:sz w:val="17"/>
                <w:szCs w:val="17"/>
              </w:rPr>
              <w:t xml:space="preserve">Build succession framework, social learning models, HiPo development programs, and governance protocols aligned to your human capital strategy.</w:t>
            </w:r>
          </w:p>
          <w:p>
            <w:pPr>
              <w:spacing w:before="60"/>
            </w:pPr>
            <w:r>
              <w:rPr>
                <w:rFonts w:ascii="Arial" w:cs="Arial" w:eastAsia="Arial" w:hAnsi="Arial"/>
                <w:b/>
                <w:bCs/>
                <w:color w:val="2E75B6"/>
                <w:sz w:val="17"/>
                <w:szCs w:val="17"/>
              </w:rPr>
              <w:t xml:space="preserve">⏱ 4–8 Weeks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2E75B6"/>
                <w:sz w:val="32"/>
                <w:szCs w:val="32"/>
              </w:rPr>
              <w:t xml:space="preserve">03</w:t>
            </w:r>
          </w:p>
          <w:p>
            <w:r>
              <w:rPr>
                <w:rFonts w:ascii="Arial" w:cs="Arial" w:eastAsia="Arial" w:hAnsi="Arial"/>
                <w:b/>
                <w:bCs/>
                <w:color w:val="1F3864"/>
                <w:sz w:val="20"/>
                <w:szCs w:val="20"/>
              </w:rPr>
              <w:t xml:space="preserve">Implementation</w:t>
            </w:r>
          </w:p>
          <w:p>
            <w:pPr>
              <w:spacing w:before="60"/>
            </w:pPr>
            <w:r>
              <w:rPr>
                <w:rFonts w:ascii="Arial" w:cs="Arial" w:eastAsia="Arial" w:hAnsi="Arial"/>
                <w:color w:val="333333"/>
                <w:sz w:val="17"/>
                <w:szCs w:val="17"/>
              </w:rPr>
              <w:t xml:space="preserve">Launch mentoring, executive coaching, and peer programs. Activate succession plans across all leadership tiers. Initiate internal promotion strategy and talent mobility pathways.</w:t>
            </w:r>
          </w:p>
          <w:p>
            <w:pPr>
              <w:spacing w:before="60"/>
            </w:pPr>
            <w:r>
              <w:rPr>
                <w:rFonts w:ascii="Arial" w:cs="Arial" w:eastAsia="Arial" w:hAnsi="Arial"/>
                <w:b/>
                <w:bCs/>
                <w:color w:val="2E75B6"/>
                <w:sz w:val="17"/>
                <w:szCs w:val="17"/>
              </w:rPr>
              <w:t xml:space="preserve">⏱ 6–12 Weeks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2E75B6"/>
                <w:sz w:val="32"/>
                <w:szCs w:val="32"/>
              </w:rPr>
              <w:t xml:space="preserve">04</w:t>
            </w:r>
          </w:p>
          <w:p>
            <w:r>
              <w:rPr>
                <w:rFonts w:ascii="Arial" w:cs="Arial" w:eastAsia="Arial" w:hAnsi="Arial"/>
                <w:b/>
                <w:bCs/>
                <w:color w:val="1F3864"/>
                <w:sz w:val="20"/>
                <w:szCs w:val="20"/>
              </w:rPr>
              <w:t xml:space="preserve">Sustained Governance</w:t>
            </w:r>
          </w:p>
          <w:p>
            <w:pPr>
              <w:spacing w:before="60"/>
            </w:pPr>
            <w:r>
              <w:rPr>
                <w:rFonts w:ascii="Arial" w:cs="Arial" w:eastAsia="Arial" w:hAnsi="Arial"/>
                <w:color w:val="333333"/>
                <w:sz w:val="17"/>
                <w:szCs w:val="17"/>
              </w:rPr>
              <w:t xml:space="preserve">Ongoing calibration, pipeline review cadence, leadership development ROI measurement, and continuous succession readiness refresh.</w:t>
            </w:r>
          </w:p>
          <w:p>
            <w:pPr>
              <w:spacing w:before="60"/>
            </w:pPr>
            <w:r>
              <w:rPr>
                <w:rFonts w:ascii="Arial" w:cs="Arial" w:eastAsia="Arial" w:hAnsi="Arial"/>
                <w:b/>
                <w:bCs/>
                <w:color w:val="2E75B6"/>
                <w:sz w:val="17"/>
                <w:szCs w:val="17"/>
              </w:rPr>
              <w:t xml:space="preserve">⏱ Ongoing</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Downloadable Framework —</w:t>
      </w:r>
    </w:p>
    <w:p>
      <w:pPr>
        <w:pStyle w:val="Heading2"/>
      </w:pPr>
      <w:r>
        <w:rPr>
          <w:rFonts w:ascii="Arial" w:cs="Arial" w:eastAsia="Arial" w:hAnsi="Arial"/>
          <w:b/>
          <w:bCs/>
          <w:color w:val="1F3864"/>
          <w:sz w:val="28"/>
          <w:szCs w:val="28"/>
        </w:rPr>
        <w:t xml:space="preserve">Leadership Pipeline Health Assessment Framework</w:t>
      </w:r>
    </w:p>
    <w:p>
      <w:pPr>
        <w:spacing w:before="60" w:after="80"/>
        <w:jc w:val="left"/>
      </w:pPr>
      <w:r>
        <w:rPr>
          <w:rFonts w:ascii="Arial" w:cs="Arial" w:eastAsia="Arial" w:hAnsi="Arial"/>
          <w:color w:val="333333"/>
          <w:sz w:val="20"/>
          <w:szCs w:val="20"/>
        </w:rPr>
        <w:t xml:space="preserve">Evaluate succession readiness and leadership bench strength across management tiers — bench depth ratios, readiness scoring criteria, HiPo identification matrices, and critical role mapping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2E75B6"/>
                <w:sz w:val="20"/>
                <w:szCs w:val="20"/>
              </w:rPr>
              <w:t xml:space="preserve">→ Download the Framework (PDF)</w:t>
            </w:r>
          </w:p>
          <w:p>
            <w:pPr>
              <w:spacing w:before="80"/>
            </w:pPr>
            <w:r>
              <w:rPr>
                <w:rFonts w:ascii="Arial" w:cs="Arial" w:eastAsia="Arial" w:hAnsi="Arial"/>
                <w:color w:val="333333"/>
                <w:sz w:val="17"/>
                <w:szCs w:val="17"/>
              </w:rPr>
              <w:t xml:space="preserve">Includes leadership risk management matrices, HiPo action plan templates, succession governance checklists, and internal talent mobility scoring guides.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PIPELINE HEALTH ASSESSMENT — SAMPLE</w:t>
            </w:r>
          </w:p>
          <w:tbl>
            <w:tblPr>
              <w:tblW w:type="dxa" w:w="5360"/>
              <w:tblBorders>
                <w:top w:val="single" w:color="auto" w:sz="4"/>
                <w:left w:val="single" w:color="auto" w:sz="4"/>
                <w:bottom w:val="single" w:color="auto" w:sz="4"/>
                <w:right w:val="single" w:color="auto" w:sz="4"/>
                <w:insideH w:val="single" w:color="auto" w:sz="4"/>
                <w:insideV w:val="single" w:color="auto" w:sz="4"/>
              </w:tblBorders>
            </w:tblPr>
            <w:tblGrid>
              <w:gridCol w:w="1340"/>
              <w:gridCol w:w="1000"/>
              <w:gridCol w:w="1340"/>
              <w:gridCol w:w="1680"/>
            </w:tblGrid>
            <w:tr>
              <w:tc>
                <w:tcPr>
                  <w:tcW w:type="dxa" w:w="1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TIER</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ROLES</w:t>
                  </w:r>
                </w:p>
              </w:tc>
              <w:tc>
                <w:tcPr>
                  <w:tcW w:type="dxa" w:w="1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BENCH</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READINESS</w:t>
                  </w:r>
                </w:p>
              </w:tc>
            </w:tr>
            <w:tr>
              <w:tc>
                <w:tcPr>
                  <w:tcW w:type="dxa" w:w="1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C-Suite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3</w:t>
                  </w:r>
                </w:p>
              </w:tc>
              <w:tc>
                <w:tcPr>
                  <w:tcW w:type="dxa" w:w="1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2:1</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82%</w:t>
                  </w:r>
                </w:p>
              </w:tc>
            </w:tr>
            <w:tr>
              <w:tc>
                <w:tcPr>
                  <w:tcW w:type="dxa" w:w="1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VP/Dir</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8</w:t>
                  </w:r>
                </w:p>
              </w:tc>
              <w:tc>
                <w:tcPr>
                  <w:tcW w:type="dxa" w:w="1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1.5:1</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65%</w:t>
                  </w:r>
                </w:p>
              </w:tc>
            </w:tr>
            <w:tr>
              <w:tc>
                <w:tcPr>
                  <w:tcW w:type="dxa" w:w="1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Sr. Mgr</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14</w:t>
                  </w:r>
                </w:p>
              </w:tc>
              <w:tc>
                <w:tcPr>
                  <w:tcW w:type="dxa" w:w="1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0.8:1</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45%</w:t>
                  </w:r>
                </w:p>
              </w:tc>
            </w:tr>
            <w:tr>
              <w:tc>
                <w:tcPr>
                  <w:tcW w:type="dxa" w:w="1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Manager</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22</w:t>
                  </w:r>
                </w:p>
              </w:tc>
              <w:tc>
                <w:tcPr>
                  <w:tcW w:type="dxa" w:w="1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0.4:1</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33%</w:t>
                  </w:r>
                </w:p>
              </w:tc>
            </w:tr>
          </w:tbl>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i/>
                <w:iCs/>
                <w:color w:val="333333"/>
                <w:sz w:val="20"/>
                <w:szCs w:val="20"/>
              </w:rPr>
              <w:t xml:space="preserve">“Edstellar’s succession planning engagement gave us the first objective view of our leadership pipeline we had ever had. We identified three critical roles with zero bench cover and activated targeted development plans within 60 days. Their leadership continuity framework has become the foundation of our people strategy.”</w:t>
            </w:r>
          </w:p>
          <w:p>
            <w:pPr>
              <w:spacing w:before="80"/>
            </w:pPr>
            <w:r>
              <w:rPr>
                <w:rFonts w:ascii="Arial" w:cs="Arial" w:eastAsia="Arial" w:hAnsi="Arial"/>
                <w:b/>
                <w:bCs/>
                <w:color w:val="1F3864"/>
                <w:sz w:val="18"/>
                <w:szCs w:val="18"/>
              </w:rPr>
              <w:t xml:space="preserve">— CHRO, Fortune 500 Manufacturing Company</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Connected Services —</w:t>
      </w:r>
    </w:p>
    <w:p>
      <w:pPr>
        <w:pStyle w:val="Heading2"/>
      </w:pPr>
      <w:r>
        <w:rPr>
          <w:rFonts w:ascii="Arial" w:cs="Arial" w:eastAsia="Arial" w:hAnsi="Arial"/>
          <w:b/>
          <w:bCs/>
          <w:color w:val="1F3864"/>
          <w:sz w:val="28"/>
          <w:szCs w:val="28"/>
        </w:rPr>
        <w:t xml:space="preserve">Integrated with Edstellar’s Full Capability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Talent Diagnostics</w:t>
            </w:r>
          </w:p>
          <w:p>
            <w:pPr>
              <w:spacing w:before="60"/>
            </w:pPr>
            <w:r>
              <w:rPr>
                <w:rFonts w:ascii="Arial" w:cs="Arial" w:eastAsia="Arial" w:hAnsi="Arial"/>
                <w:color w:val="333333"/>
                <w:sz w:val="17"/>
                <w:szCs w:val="17"/>
              </w:rPr>
              <w:t xml:space="preserve">Ground succession decisions and HiPo identification in psychometric profiling, 360-degree feedback, leadership potential assessments, and leadership assessment tools.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Leadership Training Programs</w:t>
            </w:r>
          </w:p>
          <w:p>
            <w:pPr>
              <w:spacing w:before="60"/>
            </w:pPr>
            <w:r>
              <w:rPr>
                <w:rFonts w:ascii="Arial" w:cs="Arial" w:eastAsia="Arial" w:hAnsi="Arial"/>
                <w:color w:val="333333"/>
                <w:sz w:val="17"/>
                <w:szCs w:val="17"/>
              </w:rPr>
              <w:t xml:space="preserve">Targeted leadership development programs for identified successors — executive leadership, change management, strategic thinking, and future-ready leadership capabilities.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Skills Intelligence</w:t>
            </w:r>
          </w:p>
          <w:p>
            <w:pPr>
              <w:spacing w:before="60"/>
            </w:pPr>
            <w:r>
              <w:rPr>
                <w:rFonts w:ascii="Arial" w:cs="Arial" w:eastAsia="Arial" w:hAnsi="Arial"/>
                <w:color w:val="333333"/>
                <w:sz w:val="17"/>
                <w:szCs w:val="17"/>
              </w:rPr>
              <w:t xml:space="preserve">Map leadership capabilities against skills taxonomy, workforce planning requirements, and future role needs for data-driven pipeline decisions.</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Common Questions —</w:t>
      </w:r>
    </w:p>
    <w:p>
      <w:pPr>
        <w:pStyle w:val="Heading2"/>
      </w:pPr>
      <w:r>
        <w:rPr>
          <w:rFonts w:ascii="Arial" w:cs="Arial" w:eastAsia="Arial" w:hAnsi="Arial"/>
          <w:b/>
          <w:bCs/>
          <w:color w:val="1F3864"/>
          <w:sz w:val="28"/>
          <w:szCs w:val="28"/>
        </w:rPr>
        <w:t xml:space="preserve">Leadership &amp; Succession Management FAQs</w:t>
      </w:r>
    </w:p>
    <w:p>
      <w:pPr>
        <w:spacing w:before="120" w:after="40"/>
      </w:pPr>
      <w:r>
        <w:rPr>
          <w:rFonts w:ascii="Arial" w:cs="Arial" w:eastAsia="Arial" w:hAnsi="Arial"/>
          <w:b/>
          <w:bCs/>
          <w:color w:val="1F3864"/>
          <w:sz w:val="20"/>
          <w:szCs w:val="20"/>
        </w:rPr>
        <w:t xml:space="preserve">Q: What is leadership pipeline analysis and why does it matter?</w:t>
      </w:r>
    </w:p>
    <w:p>
      <w:pPr>
        <w:spacing w:before="40" w:after="80"/>
      </w:pPr>
      <w:r>
        <w:rPr>
          <w:rFonts w:ascii="Arial" w:cs="Arial" w:eastAsia="Arial" w:hAnsi="Arial"/>
          <w:color w:val="333333"/>
          <w:sz w:val="20"/>
          <w:szCs w:val="20"/>
        </w:rPr>
        <w:t xml:space="preserve">A: A diagnostic process that maps current and emerging leaders against future role requirements, identifies executive succession gaps at every tier, and creates data-backed readiness plans with bench strength ratios and HiPo development priorities. As a premier succession planning consulting firm, Edstellar delivers pipeline analysis as a continuous talent management strategy, not a one-time exercise.</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How does organization network analysis improve succession planning and leadership development?</w:t>
      </w:r>
    </w:p>
    <w:p>
      <w:pPr>
        <w:spacing w:before="40" w:after="80"/>
      </w:pPr>
      <w:r>
        <w:rPr>
          <w:rFonts w:ascii="Arial" w:cs="Arial" w:eastAsia="Arial" w:hAnsi="Arial"/>
          <w:color w:val="333333"/>
          <w:sz w:val="20"/>
          <w:szCs w:val="20"/>
        </w:rPr>
        <w:t xml:space="preserve">A: ONA reveals hidden influence patterns, knowledge networks, and collaboration bottlenecks that org charts miss. This enables targeted leadership interventions, network-informed mentoring connections, talent concentration risk mitigation, and structural redesign to accelerate knowledge flow across the organization.</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What social learning formats does Edstellar design for leadership development?</w:t>
      </w:r>
    </w:p>
    <w:p>
      <w:pPr>
        <w:spacing w:before="40" w:after="80"/>
      </w:pPr>
      <w:r>
        <w:rPr>
          <w:rFonts w:ascii="Arial" w:cs="Arial" w:eastAsia="Arial" w:hAnsi="Arial"/>
          <w:color w:val="333333"/>
          <w:sz w:val="20"/>
          <w:szCs w:val="20"/>
        </w:rPr>
        <w:t xml:space="preserve">A: Four formats: structured mentoring programs with algorithmic matching (including reverse mentoring), executive coaching services linked to diagnostic data, peer learning circles for cohort-based problem solving, and communities of practice with governance charters and knowledge capture — all measurable for leadership development ROI.</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How long does a succession planning engagement with Edstellar take?</w:t>
      </w:r>
    </w:p>
    <w:p>
      <w:pPr>
        <w:spacing w:before="40" w:after="80"/>
      </w:pPr>
      <w:r>
        <w:rPr>
          <w:rFonts w:ascii="Arial" w:cs="Arial" w:eastAsia="Arial" w:hAnsi="Arial"/>
          <w:color w:val="333333"/>
          <w:sz w:val="20"/>
          <w:szCs w:val="20"/>
        </w:rPr>
        <w:t xml:space="preserve">A: Typically 10–16 weeks covering diagnostic assessment, pipeline mapping, HiPo development planning, and succession governance design. Ongoing advisory retainers are available for continuous calibration, leadership bench strength reviews, and talent retention strategy alignment.</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Can succession planning integrate with talent diagnostics and workforce planning?</w:t>
      </w:r>
    </w:p>
    <w:p>
      <w:pPr>
        <w:spacing w:before="40" w:after="80"/>
      </w:pPr>
      <w:r>
        <w:rPr>
          <w:rFonts w:ascii="Arial" w:cs="Arial" w:eastAsia="Arial" w:hAnsi="Arial"/>
          <w:color w:val="333333"/>
          <w:sz w:val="20"/>
          <w:szCs w:val="20"/>
        </w:rPr>
        <w:t xml:space="preserve">A: Yes — Edstellar’s closed-loop succession planning model grounds every decision in psychometric profiling, 360-degree feedback, leadership potential assessments, and workforce succession strategy from our Talent Diagnostics practice, eliminating guesswork at every stage.</w:t>
      </w:r>
    </w:p>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Start the Conversation —</w:t>
      </w:r>
    </w:p>
    <w:p>
      <w:pPr>
        <w:pStyle w:val="Heading2"/>
      </w:pPr>
      <w:r>
        <w:rPr>
          <w:rFonts w:ascii="Arial" w:cs="Arial" w:eastAsia="Arial" w:hAnsi="Arial"/>
          <w:b/>
          <w:bCs/>
          <w:color w:val="1F3864"/>
          <w:sz w:val="28"/>
          <w:szCs w:val="28"/>
        </w:rPr>
        <w:t xml:space="preserve">Build the Leadership Pipeline Your Organization Needs</w:t>
      </w:r>
    </w:p>
    <w:p>
      <w:pPr>
        <w:spacing w:before="60" w:after="80"/>
        <w:jc w:val="left"/>
      </w:pPr>
      <w:r>
        <w:rPr>
          <w:rFonts w:ascii="Arial" w:cs="Arial" w:eastAsia="Arial" w:hAnsi="Arial"/>
          <w:color w:val="333333"/>
          <w:sz w:val="20"/>
          <w:szCs w:val="20"/>
        </w:rPr>
        <w:t xml:space="preserve">Whether you need an executive succession planning diagnostic, organizational network analysis, or social learning architecture — Edstellar’s premier OD consulting practice is ready to design a future-ready leadership pipeline for your organization.</w:t>
      </w:r>
    </w:p>
    <w:p>
      <w:pPr>
        <w:spacing w:before="60" w:after="120"/>
        <w:jc w:val="left"/>
      </w:pPr>
      <w:r>
        <w:rPr>
          <w:rFonts w:ascii="Arial" w:cs="Arial" w:eastAsia="Arial" w:hAnsi="Arial"/>
          <w:b/>
          <w:bCs/>
          <w:color w:val="2E75B6"/>
          <w:sz w:val="20"/>
          <w:szCs w:val="20"/>
        </w:rPr>
        <w:t xml:space="preserve">→ Request a Succession Diagnostic    </w:t>
      </w:r>
      <w:r>
        <w:rPr>
          <w:rFonts w:ascii="Arial" w:cs="Arial" w:eastAsia="Arial" w:hAnsi="Arial"/>
          <w:b/>
          <w:bCs/>
          <w:color w:val="2E75B6"/>
          <w:sz w:val="20"/>
          <w:szCs w:val="20"/>
        </w:rPr>
        <w:t xml:space="preserve">→ Download Pipeline Framework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F3864"/>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2026-03-27T05:40:13.681Z</dcterms:created>
  <dcterms:modified xsi:type="dcterms:W3CDTF">2026-03-27T05:40:13.682Z</dcterms:modified>
</cp:coreProperties>
</file>

<file path=docProps/custom.xml><?xml version="1.0" encoding="utf-8"?>
<Properties xmlns="http://schemas.openxmlformats.org/officeDocument/2006/custom-properties" xmlns:vt="http://schemas.openxmlformats.org/officeDocument/2006/docPropsVTypes"/>
</file>