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40"/>
              <w:left w:type="dxa" w:w="360"/>
              <w:bottom w:type="dxa" w:w="440"/>
              <w:right w:type="dxa" w:w="360"/>
            </w:tcMar>
          </w:tcPr>
          <w:p>
            <w:pPr>
              <w:jc w:val="center"/>
            </w:pPr>
            <w:r>
              <w:rPr>
                <w:rFonts w:ascii="Arial" w:cs="Arial" w:eastAsia="Arial" w:hAnsi="Arial"/>
                <w:b/>
                <w:bCs/>
                <w:caps/>
                <w:color w:val="E8A020"/>
                <w:sz w:val="20"/>
                <w:szCs w:val="20"/>
              </w:rPr>
              <w:t xml:space="preserve">EDSTELLAR</w:t>
            </w:r>
          </w:p>
          <w:p>
            <w:pPr>
              <w:spacing w:before="80" w:after="60"/>
              <w:jc w:val="center"/>
            </w:pPr>
            <w:r>
              <w:rPr>
                <w:rFonts w:ascii="Arial" w:cs="Arial" w:eastAsia="Arial" w:hAnsi="Arial"/>
                <w:b/>
                <w:bCs/>
                <w:color w:val="FFFFFF"/>
                <w:sz w:val="52"/>
                <w:szCs w:val="52"/>
              </w:rPr>
              <w:t xml:space="preserve">Talent Assessments</w:t>
            </w:r>
          </w:p>
          <w:p>
            <w:pPr>
              <w:jc w:val="center"/>
            </w:pPr>
            <w:r>
              <w:rPr>
                <w:rFonts w:ascii="Arial" w:cs="Arial" w:eastAsia="Arial" w:hAnsi="Arial"/>
                <w:i/>
                <w:iCs/>
                <w:color w:val="D0D8E4"/>
                <w:sz w:val="22"/>
                <w:szCs w:val="22"/>
              </w:rPr>
              <w:t xml:space="preserve">Enterprise Assessment Services Page  --  Merged Master Document</w:t>
            </w:r>
          </w:p>
          <w:p>
            <w:pPr>
              <w:spacing w:before="60" w:after="0"/>
              <w:jc w:val="center"/>
            </w:pPr>
            <w:r>
              <w:rPr>
                <w:rFonts w:ascii="Arial" w:cs="Arial" w:eastAsia="Arial" w:hAnsi="Arial"/>
                <w:color w:val="D0D8E4"/>
                <w:sz w:val="18"/>
                <w:szCs w:val="18"/>
              </w:rPr>
              <w:t xml:space="preserve">edstellar.com/talent-assessments  |  Updated March 2026</w:t>
            </w:r>
          </w:p>
        </w:tc>
      </w:tr>
    </w:tbl>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SEO Foundation</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Page SEO Snapshot</w:t>
      </w:r>
    </w:p>
    <w:p>
      <w:pPr>
        <w:spacing w:before="80" w:after="80" w:line="276"/>
      </w:pPr>
      <w:r>
        <w:rPr>
          <w:rFonts w:ascii="Arial" w:cs="Arial" w:eastAsia="Arial" w:hAnsi="Arial"/>
          <w:color w:val="1C1C1C"/>
          <w:sz w:val="22"/>
          <w:szCs w:val="22"/>
        </w:rPr>
        <w:t xml:space="preserve">The following metadata should be applied to this page on publish. All variants are derived from competitor keyword analysis.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RECOMMENDED VALUE</w:t>
            </w:r>
          </w:p>
        </w:tc>
      </w:tr>
      <w:tr>
        <w:tc>
          <w:tcPr>
            <w:tcW w:type="dxa" w:w="260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Primary Keyword</w:t>
            </w:r>
          </w:p>
        </w:tc>
        <w:tc>
          <w:tcPr>
            <w:tcW w:type="dxa" w:w="676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Talent Assessment Services</w:t>
            </w:r>
          </w:p>
        </w:tc>
      </w:tr>
      <w:tr>
        <w:tc>
          <w:tcPr>
            <w:tcW w:type="dxa" w:w="260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Recommended Slug</w:t>
            </w:r>
          </w:p>
        </w:tc>
        <w:tc>
          <w:tcPr>
            <w:tcW w:type="dxa" w:w="676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/talent-assessments  (replaces /talent-diagnostics)</w:t>
            </w:r>
          </w:p>
        </w:tc>
      </w:tr>
      <w:tr>
        <w:tc>
          <w:tcPr>
            <w:tcW w:type="dxa" w:w="260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Meta Title (53 chars)</w:t>
            </w:r>
          </w:p>
        </w:tc>
        <w:tc>
          <w:tcPr>
            <w:tcW w:type="dxa" w:w="676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Talent Assessment Services | Edstellar Corporate Training</w:t>
            </w:r>
          </w:p>
        </w:tc>
      </w:tr>
      <w:tr>
        <w:tc>
          <w:tcPr>
            <w:tcW w:type="dxa" w:w="260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Meta Description (154 chars)</w:t>
            </w:r>
          </w:p>
        </w:tc>
        <w:tc>
          <w:tcPr>
            <w:tcW w:type="dxa" w:w="676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Identify skill gaps, verify employee capabilities, and build a data-driven talent strategy with Edstellar's corporate talent assessment services.</w:t>
            </w:r>
          </w:p>
        </w:tc>
      </w:tr>
      <w:tr>
        <w:tc>
          <w:tcPr>
            <w:tcW w:type="dxa" w:w="260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H1 (60 chars)</w:t>
            </w:r>
          </w:p>
        </w:tc>
        <w:tc>
          <w:tcPr>
            <w:tcW w:type="dxa" w:w="676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Corporate Talent Assessment Services for Workforce Readiness</w:t>
            </w:r>
          </w:p>
        </w:tc>
      </w:tr>
      <w:tr>
        <w:tc>
          <w:tcPr>
            <w:tcW w:type="dxa" w:w="260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Alt H1 Option</w:t>
            </w:r>
          </w:p>
        </w:tc>
        <w:tc>
          <w:tcPr>
            <w:tcW w:type="dxa" w:w="676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Transform Your People Strategy with Better Talent Decisions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1"/>
              <w:bottom w:val="single" w:color="856404" w:sz="1"/>
              <w:right w:val="single" w:color="856404" w:sz="1"/>
            </w:tcBorders>
            <w:shd w:fill="FFF3CD" w:val="clear"/>
            <w:tcMar>
              <w:top w:type="dxa" w:w="140"/>
              <w:left w:type="dxa" w:w="220"/>
              <w:bottom w:type="dxa" w:w="140"/>
              <w:right w:type="dxa" w:w="220"/>
            </w:tcMar>
          </w:tcPr>
          <w:p>
            <w:r>
              <w:rPr>
                <w:rFonts w:ascii="Arial" w:cs="Arial" w:eastAsia="Arial" w:hAnsi="Arial"/>
                <w:b/>
                <w:bCs/>
                <w:color w:val="1B3A6B"/>
                <w:sz w:val="20"/>
                <w:szCs w:val="20"/>
              </w:rPr>
              <w:t xml:space="preserve">Slug Note: </w:t>
            </w:r>
            <w:r>
              <w:rPr>
                <w:rFonts w:ascii="Arial" w:cs="Arial" w:eastAsia="Arial" w:hAnsi="Arial"/>
                <w:color w:val="1C1C1C"/>
                <w:sz w:val="20"/>
                <w:szCs w:val="20"/>
              </w:rPr>
              <w:t xml:space="preserve">The uploaded draft used /talent-diagnostics  --  a proprietary brand term that does not match any search query competitors rank for. Migrating to /talent-assessments aligns the URL with the primary keyword competitors dominate and removes the ranking barrier. 301-redirect /talent-diagnostics -&gt; /talent-assessments on launch.</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1  --  Hero Banner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ENTERPRISE ASSESSMENT SERVICES</w:t>
            </w:r>
          </w:p>
        </w:tc>
      </w:tr>
    </w:tbl>
    <w:p>
      <w:r>
        <w:rPr>
          <w:rFonts w:ascii="Arial" w:cs="Arial" w:eastAsia="Arial" w:hAnsi="Arial"/>
        </w:rPr>
        <w:t xml:space="preserve"/>
      </w:r>
    </w:p>
    <w:p>
      <w:pPr>
        <w:pStyle w:val="Heading1"/>
        <w:spacing w:before="280" w:after="120"/>
      </w:pPr>
      <w:r>
        <w:rPr>
          <w:rFonts w:ascii="Arial" w:cs="Arial" w:eastAsia="Arial" w:hAnsi="Arial"/>
          <w:b/>
          <w:bCs/>
          <w:color w:val="1B3A6B"/>
          <w:sz w:val="38"/>
          <w:szCs w:val="38"/>
        </w:rPr>
        <w:t xml:space="preserve">Corporate Talent Assessment Services for Workforce Readiness</w:t>
      </w:r>
    </w:p>
    <w:p>
      <w:pPr>
        <w:spacing w:before="80" w:after="80" w:line="276"/>
      </w:pPr>
      <w:r>
        <w:rPr>
          <w:rFonts w:ascii="Arial" w:cs="Arial" w:eastAsia="Arial" w:hAnsi="Arial"/>
          <w:color w:val="1C1C1C"/>
          <w:sz w:val="22"/>
          <w:szCs w:val="22"/>
        </w:rPr>
        <w:t xml:space="preserve">Edstellar's Talent Assessments, powered by our Talent Diagnostics methodology, give CHROs and L&amp;D Leaders the objective, validated capability insights they need  --  replacing guesswork with evidence. Prioritize capability investments across revenue, throughput, attrition, and succession risk.</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E7C7B" w:sz="1"/>
              <w:left w:val="single" w:color="0E7C7B" w:sz="1"/>
              <w:bottom w:val="single" w:color="0E7C7B" w:sz="1"/>
              <w:right w:val="single" w:color="0E7C7B" w:sz="1"/>
            </w:tcBorders>
            <w:shd w:fill="EBF4FA" w:val="clear"/>
            <w:tcMar>
              <w:top w:type="dxa" w:w="100"/>
              <w:left w:type="dxa" w:w="100"/>
              <w:bottom w:type="dxa" w:w="100"/>
              <w:right w:type="dxa" w:w="100"/>
            </w:tcMar>
          </w:tcPr>
          <w:p>
            <w:pPr>
              <w:jc w:val="center"/>
            </w:pPr>
            <w:r>
              <w:rPr>
                <w:rFonts w:ascii="Arial" w:cs="Arial" w:eastAsia="Arial" w:hAnsi="Arial"/>
                <w:b/>
                <w:bCs/>
                <w:color w:val="1B3A6B"/>
                <w:sz w:val="36"/>
                <w:szCs w:val="36"/>
              </w:rPr>
              <w:t xml:space="preserve">5,000+</w:t>
            </w:r>
          </w:p>
          <w:p>
            <w:pPr>
              <w:spacing w:before="30" w:after="0"/>
              <w:jc w:val="center"/>
            </w:pPr>
            <w:r>
              <w:rPr>
                <w:rFonts w:ascii="Arial" w:cs="Arial" w:eastAsia="Arial" w:hAnsi="Arial"/>
                <w:color w:val="5A5A5A"/>
                <w:sz w:val="19"/>
                <w:szCs w:val="19"/>
              </w:rPr>
              <w:t xml:space="preserve">Certified Assessors</w:t>
            </w:r>
          </w:p>
        </w:tc>
        <w:tc>
          <w:tcPr>
            <w:tcW w:type="dxa" w:w="3120"/>
            <w:tcBorders>
              <w:top w:val="single" w:color="0E7C7B" w:sz="1"/>
              <w:left w:val="single" w:color="0E7C7B" w:sz="1"/>
              <w:bottom w:val="single" w:color="0E7C7B" w:sz="1"/>
              <w:right w:val="single" w:color="0E7C7B" w:sz="1"/>
            </w:tcBorders>
            <w:shd w:fill="EBF4FA" w:val="clear"/>
            <w:tcMar>
              <w:top w:type="dxa" w:w="100"/>
              <w:left w:type="dxa" w:w="100"/>
              <w:bottom w:type="dxa" w:w="100"/>
              <w:right w:type="dxa" w:w="100"/>
            </w:tcMar>
          </w:tcPr>
          <w:p>
            <w:pPr>
              <w:jc w:val="center"/>
            </w:pPr>
            <w:r>
              <w:rPr>
                <w:rFonts w:ascii="Arial" w:cs="Arial" w:eastAsia="Arial" w:hAnsi="Arial"/>
                <w:b/>
                <w:bCs/>
                <w:color w:val="1B3A6B"/>
                <w:sz w:val="36"/>
                <w:szCs w:val="36"/>
              </w:rPr>
              <w:t xml:space="preserve">100+</w:t>
            </w:r>
          </w:p>
          <w:p>
            <w:pPr>
              <w:spacing w:before="30" w:after="0"/>
              <w:jc w:val="center"/>
            </w:pPr>
            <w:r>
              <w:rPr>
                <w:rFonts w:ascii="Arial" w:cs="Arial" w:eastAsia="Arial" w:hAnsi="Arial"/>
                <w:color w:val="5A5A5A"/>
                <w:sz w:val="19"/>
                <w:szCs w:val="19"/>
              </w:rPr>
              <w:t xml:space="preserve">Global Delivery Locations</w:t>
            </w:r>
          </w:p>
        </w:tc>
        <w:tc>
          <w:tcPr>
            <w:tcW w:type="dxa" w:w="3120"/>
            <w:tcBorders>
              <w:top w:val="single" w:color="0E7C7B" w:sz="1"/>
              <w:left w:val="single" w:color="0E7C7B" w:sz="1"/>
              <w:bottom w:val="single" w:color="0E7C7B" w:sz="1"/>
              <w:right w:val="single" w:color="0E7C7B" w:sz="1"/>
            </w:tcBorders>
            <w:shd w:fill="EBF4FA" w:val="clear"/>
            <w:tcMar>
              <w:top w:type="dxa" w:w="100"/>
              <w:left w:type="dxa" w:w="100"/>
              <w:bottom w:type="dxa" w:w="100"/>
              <w:right w:type="dxa" w:w="100"/>
            </w:tcMar>
          </w:tcPr>
          <w:p>
            <w:pPr>
              <w:jc w:val="center"/>
            </w:pPr>
            <w:r>
              <w:rPr>
                <w:rFonts w:ascii="Arial" w:cs="Arial" w:eastAsia="Arial" w:hAnsi="Arial"/>
                <w:b/>
                <w:bCs/>
                <w:color w:val="1B3A6B"/>
                <w:sz w:val="36"/>
                <w:szCs w:val="36"/>
              </w:rPr>
              <w:t xml:space="preserve">13,650+</w:t>
            </w:r>
          </w:p>
          <w:p>
            <w:pPr>
              <w:spacing w:before="30" w:after="0"/>
              <w:jc w:val="center"/>
            </w:pPr>
            <w:r>
              <w:rPr>
                <w:rFonts w:ascii="Arial" w:cs="Arial" w:eastAsia="Arial" w:hAnsi="Arial"/>
                <w:color w:val="5A5A5A"/>
                <w:sz w:val="19"/>
                <w:szCs w:val="19"/>
              </w:rPr>
              <w:t xml:space="preserve">Assessments Delivered</w:t>
            </w:r>
          </w:p>
        </w:tc>
      </w:tr>
    </w:tbl>
    <w:p>
      <w:r>
        <w:rPr>
          <w:rFonts w:ascii="Arial" w:cs="Arial" w:eastAsia="Arial" w:hAnsi="Arial"/>
        </w:rPr>
        <w:t xml:space="preserve"/>
      </w:r>
    </w:p>
    <w:p>
      <w:pPr>
        <w:spacing w:before="60" w:after="60"/>
        <w:jc w:val="center"/>
      </w:pPr>
      <w:r>
        <w:rPr>
          <w:rFonts w:ascii="Arial" w:cs="Arial" w:eastAsia="Arial" w:hAnsi="Arial"/>
          <w:b/>
          <w:bCs/>
          <w:color w:val="1B3A6B"/>
          <w:sz w:val="20"/>
          <w:szCs w:val="20"/>
        </w:rPr>
        <w:t xml:space="preserve">Trusted by: </w:t>
      </w:r>
      <w:r>
        <w:rPr>
          <w:rFonts w:ascii="Arial" w:cs="Arial" w:eastAsia="Arial" w:hAnsi="Arial"/>
          <w:color w:val="5A5A5A"/>
          <w:sz w:val="20"/>
          <w:szCs w:val="20"/>
        </w:rPr>
        <w:t xml:space="preserve">VISA  |  ABB  |  Aditya Birla Group  |  Fortune 500 Enterprises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F5F7FA" w:val="clear"/>
            <w:tcMar>
              <w:top w:type="dxa" w:w="140"/>
              <w:left w:type="dxa" w:w="220"/>
              <w:bottom w:type="dxa" w:w="140"/>
              <w:right w:type="dxa" w:w="220"/>
            </w:tcMar>
          </w:tcPr>
          <w:p>
            <w:pPr>
              <w:jc w:val="center"/>
            </w:pPr>
            <w:r>
              <w:rPr>
                <w:rFonts w:ascii="Arial" w:cs="Arial" w:eastAsia="Arial" w:hAnsi="Arial"/>
                <w:b/>
                <w:bCs/>
                <w:color w:val="E8A020"/>
                <w:sz w:val="22"/>
                <w:szCs w:val="22"/>
              </w:rPr>
              <w:t xml:space="preserve">-&gt;  </w:t>
            </w:r>
            <w:r>
              <w:rPr>
                <w:rFonts w:ascii="Arial" w:cs="Arial" w:eastAsia="Arial" w:hAnsi="Arial"/>
                <w:b/>
                <w:bCs/>
                <w:color w:val="1B3A6B"/>
                <w:sz w:val="22"/>
                <w:szCs w:val="22"/>
              </w:rPr>
              <w:t xml:space="preserve">Request a Diagnostic Consultation</w:t>
            </w:r>
            <w:r>
              <w:rPr>
                <w:rFonts w:ascii="Arial" w:cs="Arial" w:eastAsia="Arial" w:hAnsi="Arial"/>
                <w:color w:val="5A5A5A"/>
                <w:sz w:val="22"/>
                <w:szCs w:val="22"/>
              </w:rPr>
              <w:t xml:space="preserve">   |   </w:t>
            </w:r>
            <w:r>
              <w:rPr>
                <w:rFonts w:ascii="Arial" w:cs="Arial" w:eastAsia="Arial" w:hAnsi="Arial"/>
                <w:b/>
                <w:bCs/>
                <w:color w:val="E8A020"/>
                <w:sz w:val="22"/>
                <w:szCs w:val="22"/>
              </w:rPr>
              <w:t xml:space="preserve">-&gt;  </w:t>
            </w:r>
            <w:r>
              <w:rPr>
                <w:rFonts w:ascii="Arial" w:cs="Arial" w:eastAsia="Arial" w:hAnsi="Arial"/>
                <w:b/>
                <w:bCs/>
                <w:color w:val="1B3A6B"/>
                <w:sz w:val="22"/>
                <w:szCs w:val="22"/>
              </w:rPr>
              <w:t xml:space="preserve">Explore Assessment Framework</w:t>
            </w:r>
            <w:r>
              <w:rPr>
                <w:rFonts w:ascii="Arial" w:cs="Arial" w:eastAsia="Arial" w:hAnsi="Arial"/>
                <w:color w:val="5A5A5A"/>
                <w:sz w:val="22"/>
                <w:szCs w:val="22"/>
              </w:rPr>
              <w:t xml:space="preserve">   |   </w:t>
            </w:r>
            <w:r>
              <w:rPr>
                <w:rFonts w:ascii="Arial" w:cs="Arial" w:eastAsia="Arial" w:hAnsi="Arial"/>
                <w:b/>
                <w:bCs/>
                <w:color w:val="E8A020"/>
                <w:sz w:val="22"/>
                <w:szCs w:val="22"/>
              </w:rPr>
              <w:t xml:space="preserve">-&gt;  </w:t>
            </w:r>
            <w:r>
              <w:rPr>
                <w:rFonts w:ascii="Arial" w:cs="Arial" w:eastAsia="Arial" w:hAnsi="Arial"/>
                <w:b/>
                <w:bCs/>
                <w:color w:val="1B3A6B"/>
                <w:sz w:val="22"/>
                <w:szCs w:val="22"/>
              </w:rPr>
              <w:t xml:space="preserve">Download Sample Diagnostic Report</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2  --  Most Requested Assessments</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Most Requested Assessments</w:t>
      </w:r>
    </w:p>
    <w:p>
      <w:pPr>
        <w:spacing w:before="60" w:after="80"/>
      </w:pPr>
      <w:r>
        <w:rPr>
          <w:rFonts w:ascii="Arial" w:cs="Arial" w:eastAsia="Arial" w:hAnsi="Arial"/>
          <w:b/>
          <w:bCs/>
          <w:color w:val="0E7C7B"/>
          <w:sz w:val="22"/>
          <w:szCs w:val="22"/>
        </w:rPr>
        <w:t xml:space="preserve">13,650+ delivered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ASSESSMENT TYPE</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VOLUME</w:t>
            </w:r>
          </w:p>
        </w:tc>
      </w:tr>
      <w:tr>
        <w:tc>
          <w:tcPr>
            <w:tcW w:type="dxa" w:w="600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01   Psychometric Assessments</w:t>
            </w:r>
          </w:p>
        </w:tc>
        <w:tc>
          <w:tcPr>
            <w:tcW w:type="dxa" w:w="336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4,500+ delivered</w:t>
            </w:r>
          </w:p>
        </w:tc>
      </w:tr>
      <w:tr>
        <w:tc>
          <w:tcPr>
            <w:tcW w:type="dxa" w:w="600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02   360-Degree Feedback</w:t>
            </w:r>
          </w:p>
        </w:tc>
        <w:tc>
          <w:tcPr>
            <w:tcW w:type="dxa" w:w="336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3,200+ delivered</w:t>
            </w:r>
          </w:p>
        </w:tc>
      </w:tr>
      <w:tr>
        <w:tc>
          <w:tcPr>
            <w:tcW w:type="dxa" w:w="600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03   Leadership Potential</w:t>
            </w:r>
          </w:p>
        </w:tc>
        <w:tc>
          <w:tcPr>
            <w:tcW w:type="dxa" w:w="336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2,800+ delivered</w:t>
            </w:r>
          </w:p>
        </w:tc>
      </w:tr>
      <w:tr>
        <w:tc>
          <w:tcPr>
            <w:tcW w:type="dxa" w:w="600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04   Skill Proficiency Assessments</w:t>
            </w:r>
          </w:p>
        </w:tc>
        <w:tc>
          <w:tcPr>
            <w:tcW w:type="dxa" w:w="336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1,950+ delivered</w:t>
            </w:r>
          </w:p>
        </w:tc>
      </w:tr>
      <w:tr>
        <w:tc>
          <w:tcPr>
            <w:tcW w:type="dxa" w:w="600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05   Emotional Intelligence (EQ)</w:t>
            </w:r>
          </w:p>
        </w:tc>
        <w:tc>
          <w:tcPr>
            <w:tcW w:type="dxa" w:w="336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1,200+ delivered</w:t>
            </w:r>
          </w:p>
        </w:tc>
      </w:tr>
      <w:tr>
        <w:tc>
          <w:tcPr>
            <w:tcW w:type="dxa" w:w="600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06   Virtual &amp; Digital Readiness</w:t>
            </w:r>
          </w:p>
        </w:tc>
        <w:tc>
          <w:tcPr>
            <w:tcW w:type="dxa" w:w="336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NEW  --  see below</w:t>
            </w:r>
          </w:p>
        </w:tc>
      </w:tr>
      <w:tr>
        <w:tc>
          <w:tcPr>
            <w:tcW w:type="dxa" w:w="600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07   Gamified &amp; Video Assessments</w:t>
            </w:r>
          </w:p>
        </w:tc>
        <w:tc>
          <w:tcPr>
            <w:tcW w:type="dxa" w:w="336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NEW  --  see below</w:t>
            </w:r>
          </w:p>
        </w:tc>
      </w:tr>
      <w:tr>
        <w:tc>
          <w:tcPr>
            <w:tcW w:type="dxa" w:w="600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08   Role-Based Skill Validation</w:t>
            </w:r>
          </w:p>
        </w:tc>
        <w:tc>
          <w:tcPr>
            <w:tcW w:type="dxa" w:w="336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see below</w:t>
            </w:r>
          </w:p>
        </w:tc>
      </w:tr>
      <w:tr>
        <w:tc>
          <w:tcPr>
            <w:tcW w:type="dxa" w:w="600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09   Culture &amp; Values Alignment</w:t>
            </w:r>
          </w:p>
        </w:tc>
        <w:tc>
          <w:tcPr>
            <w:tcW w:type="dxa" w:w="336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see below</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3  --  The Problem We Solve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THE PROBLEM WE SOLVE</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From Evidence to Actionable Talent Decisions</w:t>
      </w:r>
    </w:p>
    <w:p>
      <w:pPr>
        <w:spacing w:before="80" w:after="80" w:line="276"/>
      </w:pPr>
      <w:r>
        <w:rPr>
          <w:rFonts w:ascii="Arial" w:cs="Arial" w:eastAsia="Arial" w:hAnsi="Arial"/>
          <w:color w:val="1C1C1C"/>
          <w:sz w:val="22"/>
          <w:szCs w:val="22"/>
        </w:rPr>
        <w:t xml:space="preserve">Most organizations invest training budgets based on assumptions: manager hunches, outdated role descriptions, or vendor catalogs. The result? Programs that don't address the real capability gaps holding back performance. Edstellar's corporate assessment services replace that guesswork with structured, validated talent diagnostics that ground every workforce development decision in evidence.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E7C7B" w:sz="1"/>
              <w:left w:val="single" w:color="0E7C7B" w:sz="1"/>
              <w:bottom w:val="single" w:color="0E7C7B" w:sz="1"/>
              <w:right w:val="single" w:color="0E7C7B" w:sz="1"/>
            </w:tcBorders>
            <w:shd w:fill="1B3A6B" w:val="clear"/>
            <w:tcMar>
              <w:top w:type="dxa" w:w="180"/>
              <w:left w:type="dxa" w:w="100"/>
              <w:bottom w:type="dxa" w:w="180"/>
              <w:right w:type="dxa" w:w="100"/>
            </w:tcMar>
          </w:tcPr>
          <w:p>
            <w:pPr>
              <w:jc w:val="center"/>
            </w:pPr>
            <w:r>
              <w:rPr>
                <w:rFonts w:ascii="Arial" w:cs="Arial" w:eastAsia="Arial" w:hAnsi="Arial"/>
                <w:b/>
                <w:bCs/>
                <w:color w:val="E8A020"/>
                <w:sz w:val="52"/>
                <w:szCs w:val="52"/>
              </w:rPr>
              <w:t xml:space="preserve">72%</w:t>
            </w:r>
          </w:p>
          <w:p>
            <w:pPr>
              <w:spacing w:before="40" w:after="0"/>
              <w:jc w:val="center"/>
            </w:pPr>
            <w:r>
              <w:rPr>
                <w:rFonts w:ascii="Arial" w:cs="Arial" w:eastAsia="Arial" w:hAnsi="Arial"/>
                <w:b/>
                <w:bCs/>
                <w:color w:val="FFFFFF"/>
                <w:sz w:val="20"/>
                <w:szCs w:val="20"/>
              </w:rPr>
              <w:t xml:space="preserve">of skill data</w:t>
            </w:r>
          </w:p>
          <w:p>
            <w:pPr>
              <w:spacing w:before="20" w:after="0"/>
              <w:jc w:val="center"/>
            </w:pPr>
            <w:r>
              <w:rPr>
                <w:rFonts w:ascii="Arial" w:cs="Arial" w:eastAsia="Arial" w:hAnsi="Arial"/>
                <w:color w:val="D0D8E4"/>
                <w:sz w:val="17"/>
                <w:szCs w:val="17"/>
              </w:rPr>
              <w:t xml:space="preserve">is self-reported  --  unverified</w:t>
            </w:r>
          </w:p>
        </w:tc>
        <w:tc>
          <w:tcPr>
            <w:tcW w:type="dxa" w:w="2340"/>
            <w:tcBorders>
              <w:top w:val="single" w:color="0E7C7B" w:sz="1"/>
              <w:left w:val="single" w:color="0E7C7B" w:sz="1"/>
              <w:bottom w:val="single" w:color="0E7C7B" w:sz="1"/>
              <w:right w:val="single" w:color="0E7C7B" w:sz="1"/>
            </w:tcBorders>
            <w:shd w:fill="1B3A6B" w:val="clear"/>
            <w:tcMar>
              <w:top w:type="dxa" w:w="180"/>
              <w:left w:type="dxa" w:w="100"/>
              <w:bottom w:type="dxa" w:w="180"/>
              <w:right w:type="dxa" w:w="100"/>
            </w:tcMar>
          </w:tcPr>
          <w:p>
            <w:pPr>
              <w:jc w:val="center"/>
            </w:pPr>
            <w:r>
              <w:rPr>
                <w:rFonts w:ascii="Arial" w:cs="Arial" w:eastAsia="Arial" w:hAnsi="Arial"/>
                <w:b/>
                <w:bCs/>
                <w:color w:val="E8A020"/>
                <w:sz w:val="52"/>
                <w:szCs w:val="52"/>
              </w:rPr>
              <w:t xml:space="preserve">14+</w:t>
            </w:r>
          </w:p>
          <w:p>
            <w:pPr>
              <w:spacing w:before="40" w:after="0"/>
              <w:jc w:val="center"/>
            </w:pPr>
            <w:r>
              <w:rPr>
                <w:rFonts w:ascii="Arial" w:cs="Arial" w:eastAsia="Arial" w:hAnsi="Arial"/>
                <w:b/>
                <w:bCs/>
                <w:color w:val="FFFFFF"/>
                <w:sz w:val="20"/>
                <w:szCs w:val="20"/>
              </w:rPr>
              <w:t xml:space="preserve">Years enterprise</w:t>
            </w:r>
          </w:p>
          <w:p>
            <w:pPr>
              <w:spacing w:before="20" w:after="0"/>
              <w:jc w:val="center"/>
            </w:pPr>
            <w:r>
              <w:rPr>
                <w:rFonts w:ascii="Arial" w:cs="Arial" w:eastAsia="Arial" w:hAnsi="Arial"/>
                <w:color w:val="D0D8E4"/>
                <w:sz w:val="17"/>
                <w:szCs w:val="17"/>
              </w:rPr>
              <w:t xml:space="preserve">assessment experience</w:t>
            </w:r>
          </w:p>
        </w:tc>
        <w:tc>
          <w:tcPr>
            <w:tcW w:type="dxa" w:w="2340"/>
            <w:tcBorders>
              <w:top w:val="single" w:color="0E7C7B" w:sz="1"/>
              <w:left w:val="single" w:color="0E7C7B" w:sz="1"/>
              <w:bottom w:val="single" w:color="0E7C7B" w:sz="1"/>
              <w:right w:val="single" w:color="0E7C7B" w:sz="1"/>
            </w:tcBorders>
            <w:shd w:fill="1B3A6B" w:val="clear"/>
            <w:tcMar>
              <w:top w:type="dxa" w:w="180"/>
              <w:left w:type="dxa" w:w="100"/>
              <w:bottom w:type="dxa" w:w="180"/>
              <w:right w:type="dxa" w:w="100"/>
            </w:tcMar>
          </w:tcPr>
          <w:p>
            <w:pPr>
              <w:jc w:val="center"/>
            </w:pPr>
            <w:r>
              <w:rPr>
                <w:rFonts w:ascii="Arial" w:cs="Arial" w:eastAsia="Arial" w:hAnsi="Arial"/>
                <w:b/>
                <w:bCs/>
                <w:color w:val="E8A020"/>
                <w:sz w:val="52"/>
                <w:szCs w:val="52"/>
              </w:rPr>
              <w:t xml:space="preserve">3x</w:t>
            </w:r>
          </w:p>
          <w:p>
            <w:pPr>
              <w:spacing w:before="40" w:after="0"/>
              <w:jc w:val="center"/>
            </w:pPr>
            <w:r>
              <w:rPr>
                <w:rFonts w:ascii="Arial" w:cs="Arial" w:eastAsia="Arial" w:hAnsi="Arial"/>
                <w:b/>
                <w:bCs/>
                <w:color w:val="FFFFFF"/>
                <w:sz w:val="20"/>
                <w:szCs w:val="20"/>
              </w:rPr>
              <w:t xml:space="preserve">Higher readiness risk</w:t>
            </w:r>
          </w:p>
          <w:p>
            <w:pPr>
              <w:spacing w:before="20" w:after="0"/>
              <w:jc w:val="center"/>
            </w:pPr>
            <w:r>
              <w:rPr>
                <w:rFonts w:ascii="Arial" w:cs="Arial" w:eastAsia="Arial" w:hAnsi="Arial"/>
                <w:color w:val="D0D8E4"/>
                <w:sz w:val="17"/>
                <w:szCs w:val="17"/>
              </w:rPr>
              <w:t xml:space="preserve">when skill data is unverified</w:t>
            </w:r>
          </w:p>
        </w:tc>
        <w:tc>
          <w:tcPr>
            <w:tcW w:type="dxa" w:w="2340"/>
            <w:tcBorders>
              <w:top w:val="single" w:color="0E7C7B" w:sz="1"/>
              <w:left w:val="single" w:color="0E7C7B" w:sz="1"/>
              <w:bottom w:val="single" w:color="0E7C7B" w:sz="1"/>
              <w:right w:val="single" w:color="0E7C7B" w:sz="1"/>
            </w:tcBorders>
            <w:shd w:fill="1B3A6B" w:val="clear"/>
            <w:tcMar>
              <w:top w:type="dxa" w:w="180"/>
              <w:left w:type="dxa" w:w="100"/>
              <w:bottom w:type="dxa" w:w="180"/>
              <w:right w:type="dxa" w:w="100"/>
            </w:tcMar>
          </w:tcPr>
          <w:p>
            <w:pPr>
              <w:jc w:val="center"/>
            </w:pPr>
            <w:r>
              <w:rPr>
                <w:rFonts w:ascii="Arial" w:cs="Arial" w:eastAsia="Arial" w:hAnsi="Arial"/>
                <w:b/>
                <w:bCs/>
                <w:color w:val="E8A020"/>
                <w:sz w:val="52"/>
                <w:szCs w:val="52"/>
              </w:rPr>
              <w:t xml:space="preserve">100+</w:t>
            </w:r>
          </w:p>
          <w:p>
            <w:pPr>
              <w:spacing w:before="40" w:after="0"/>
              <w:jc w:val="center"/>
            </w:pPr>
            <w:r>
              <w:rPr>
                <w:rFonts w:ascii="Arial" w:cs="Arial" w:eastAsia="Arial" w:hAnsi="Arial"/>
                <w:b/>
                <w:bCs/>
                <w:color w:val="FFFFFF"/>
                <w:sz w:val="20"/>
                <w:szCs w:val="20"/>
              </w:rPr>
              <w:t xml:space="preserve">Global delivery</w:t>
            </w:r>
          </w:p>
          <w:p>
            <w:pPr>
              <w:spacing w:before="20" w:after="0"/>
              <w:jc w:val="center"/>
            </w:pPr>
            <w:r>
              <w:rPr>
                <w:rFonts w:ascii="Arial" w:cs="Arial" w:eastAsia="Arial" w:hAnsi="Arial"/>
                <w:color w:val="D0D8E4"/>
                <w:sz w:val="17"/>
                <w:szCs w:val="17"/>
              </w:rPr>
              <w:t xml:space="preserve">locations worldwide</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4  --  Definition (SEO)</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What is a Talent Assessment?</w:t>
      </w:r>
    </w:p>
    <w:p>
      <w:pPr>
        <w:spacing w:before="80" w:after="80" w:line="276"/>
      </w:pPr>
      <w:r>
        <w:rPr>
          <w:rFonts w:ascii="Arial" w:cs="Arial" w:eastAsia="Arial" w:hAnsi="Arial"/>
          <w:color w:val="1C1C1C"/>
          <w:sz w:val="22"/>
          <w:szCs w:val="22"/>
        </w:rPr>
        <w:t xml:space="preserve">A Talent Assessment is an objective, repeatable process for measuring, validating, and verifying employee workforce capabilities  --  producing proficiency data that is defensible, auditable, and actionable across talent decisions. Unlike performance reviews or informal skill conversations, talent assessments apply a structured framework to each evaluation, ensuring that capability ratings are grounded in observable, role-relevant evidence rather than subjective impression.</w:t>
      </w:r>
    </w:p>
    <w:p>
      <w:pPr>
        <w:spacing w:before="80" w:after="80" w:line="276"/>
      </w:pPr>
      <w:r>
        <w:rPr>
          <w:rFonts w:ascii="Arial" w:cs="Arial" w:eastAsia="Arial" w:hAnsi="Arial"/>
          <w:color w:val="1C1C1C"/>
          <w:sz w:val="22"/>
          <w:szCs w:val="22"/>
        </w:rPr>
        <w:t xml:space="preserve">Edstellar's approach goes further: our Talent Diagnostics methodology connects every assessment finding directly to targeted development action. Where standard assessments produce a score, Edstellar diagnostics produce a development strategy.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E8A020"/>
                <w:sz w:val="28"/>
                <w:szCs w:val="28"/>
              </w:rPr>
              <w:t xml:space="preserve">01</w:t>
            </w:r>
          </w:p>
        </w:tc>
        <w:tc>
          <w:tcPr>
            <w:tcW w:type="dxa" w:w="234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E8A020"/>
                <w:sz w:val="28"/>
                <w:szCs w:val="28"/>
              </w:rPr>
              <w:t xml:space="preserve">02</w:t>
            </w:r>
          </w:p>
        </w:tc>
        <w:tc>
          <w:tcPr>
            <w:tcW w:type="dxa" w:w="234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E8A020"/>
                <w:sz w:val="28"/>
                <w:szCs w:val="28"/>
              </w:rPr>
              <w:t xml:space="preserve">03</w:t>
            </w:r>
          </w:p>
        </w:tc>
        <w:tc>
          <w:tcPr>
            <w:tcW w:type="dxa" w:w="234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E8A020"/>
                <w:sz w:val="28"/>
                <w:szCs w:val="28"/>
              </w:rPr>
              <w:t xml:space="preserve">04</w:t>
            </w:r>
          </w:p>
        </w:tc>
      </w:tr>
      <w:tr>
        <w:tc>
          <w:tcPr>
            <w:tcW w:type="dxa" w:w="2340"/>
            <w:tcBorders>
              <w:top w:val="single" w:color="C8D8E8" w:sz="1"/>
              <w:left w:val="single" w:color="C8D8E8" w:sz="1"/>
              <w:bottom w:val="single" w:color="C8D8E8" w:sz="1"/>
              <w:right w:val="single" w:color="C8D8E8" w:sz="1"/>
            </w:tcBorders>
            <w:shd w:fill="EBF4FA"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Role-First Evaluation</w:t>
            </w:r>
          </w:p>
        </w:tc>
        <w:tc>
          <w:tcPr>
            <w:tcW w:type="dxa" w:w="2340"/>
            <w:tcBorders>
              <w:top w:val="single" w:color="C8D8E8" w:sz="1"/>
              <w:left w:val="single" w:color="C8D8E8" w:sz="1"/>
              <w:bottom w:val="single" w:color="C8D8E8" w:sz="1"/>
              <w:right w:val="single" w:color="C8D8E8" w:sz="1"/>
            </w:tcBorders>
            <w:shd w:fill="EBF4FA"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Employee Self-Assessment</w:t>
            </w:r>
          </w:p>
        </w:tc>
        <w:tc>
          <w:tcPr>
            <w:tcW w:type="dxa" w:w="2340"/>
            <w:tcBorders>
              <w:top w:val="single" w:color="C8D8E8" w:sz="1"/>
              <w:left w:val="single" w:color="C8D8E8" w:sz="1"/>
              <w:bottom w:val="single" w:color="C8D8E8" w:sz="1"/>
              <w:right w:val="single" w:color="C8D8E8" w:sz="1"/>
            </w:tcBorders>
            <w:shd w:fill="EBF4FA"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Manager Verification</w:t>
            </w:r>
          </w:p>
        </w:tc>
        <w:tc>
          <w:tcPr>
            <w:tcW w:type="dxa" w:w="2340"/>
            <w:tcBorders>
              <w:top w:val="single" w:color="C8D8E8" w:sz="1"/>
              <w:left w:val="single" w:color="C8D8E8" w:sz="1"/>
              <w:bottom w:val="single" w:color="C8D8E8" w:sz="1"/>
              <w:right w:val="single" w:color="C8D8E8" w:sz="1"/>
            </w:tcBorders>
            <w:shd w:fill="EBF4FA" w:val="clear"/>
            <w:tcMar>
              <w:top w:type="dxa" w:w="80"/>
              <w:left w:type="dxa" w:w="100"/>
              <w:bottom w:type="dxa" w:w="80"/>
              <w:right w:type="dxa" w:w="100"/>
            </w:tcMar>
          </w:tcPr>
          <w:p>
            <w:pPr>
              <w:jc w:val="center"/>
            </w:pPr>
            <w:r>
              <w:rPr>
                <w:rFonts w:ascii="Arial" w:cs="Arial" w:eastAsia="Arial" w:hAnsi="Arial"/>
                <w:b/>
                <w:bCs/>
                <w:color w:val="1B3A6B"/>
                <w:sz w:val="19"/>
                <w:szCs w:val="19"/>
              </w:rPr>
              <w:t xml:space="preserve">Gap Analysis &amp; Learning</w:t>
            </w:r>
          </w:p>
        </w:tc>
      </w:tr>
      <w:tr>
        <w:tc>
          <w:tcPr>
            <w:tcW w:type="dxa" w:w="2340"/>
            <w:tcBorders>
              <w:top w:val="single" w:color="C8D8E8" w:sz="1"/>
              <w:left w:val="single" w:color="C8D8E8" w:sz="1"/>
              <w:bottom w:val="single" w:color="C8D8E8" w:sz="1"/>
              <w:right w:val="single" w:color="C8D8E8" w:sz="1"/>
            </w:tcBorders>
            <w:shd w:fill="FFFFFF" w:val="clear"/>
            <w:tcMar>
              <w:top w:type="dxa" w:w="80"/>
              <w:left w:type="dxa" w:w="100"/>
              <w:bottom w:type="dxa" w:w="100"/>
              <w:right w:type="dxa" w:w="100"/>
            </w:tcMar>
          </w:tcPr>
          <w:p>
            <w:pPr>
              <w:spacing w:before="0" w:after="0" w:line="276"/>
              <w:jc w:val="center"/>
            </w:pPr>
            <w:r>
              <w:rPr>
                <w:rFonts w:ascii="Arial" w:cs="Arial" w:eastAsia="Arial" w:hAnsi="Arial"/>
                <w:color w:val="1C1C1C"/>
                <w:sz w:val="18"/>
                <w:szCs w:val="18"/>
              </w:rPr>
              <w:t xml:space="preserve">Scoped against governed role profiles, not generic skill lists.</w:t>
            </w:r>
          </w:p>
        </w:tc>
        <w:tc>
          <w:tcPr>
            <w:tcW w:type="dxa" w:w="2340"/>
            <w:tcBorders>
              <w:top w:val="single" w:color="C8D8E8" w:sz="1"/>
              <w:left w:val="single" w:color="C8D8E8" w:sz="1"/>
              <w:bottom w:val="single" w:color="C8D8E8" w:sz="1"/>
              <w:right w:val="single" w:color="C8D8E8" w:sz="1"/>
            </w:tcBorders>
            <w:shd w:fill="FFFFFF" w:val="clear"/>
            <w:tcMar>
              <w:top w:type="dxa" w:w="80"/>
              <w:left w:type="dxa" w:w="100"/>
              <w:bottom w:type="dxa" w:w="100"/>
              <w:right w:type="dxa" w:w="100"/>
            </w:tcMar>
          </w:tcPr>
          <w:p>
            <w:pPr>
              <w:spacing w:before="0" w:after="0" w:line="276"/>
              <w:jc w:val="center"/>
            </w:pPr>
            <w:r>
              <w:rPr>
                <w:rFonts w:ascii="Arial" w:cs="Arial" w:eastAsia="Arial" w:hAnsi="Arial"/>
                <w:color w:val="1C1C1C"/>
                <w:sz w:val="18"/>
                <w:szCs w:val="18"/>
              </w:rPr>
              <w:t xml:space="preserve">Employees rate proficiency against structured behavioral indicators.</w:t>
            </w:r>
          </w:p>
        </w:tc>
        <w:tc>
          <w:tcPr>
            <w:tcW w:type="dxa" w:w="2340"/>
            <w:tcBorders>
              <w:top w:val="single" w:color="C8D8E8" w:sz="1"/>
              <w:left w:val="single" w:color="C8D8E8" w:sz="1"/>
              <w:bottom w:val="single" w:color="C8D8E8" w:sz="1"/>
              <w:right w:val="single" w:color="C8D8E8" w:sz="1"/>
            </w:tcBorders>
            <w:shd w:fill="FFFFFF" w:val="clear"/>
            <w:tcMar>
              <w:top w:type="dxa" w:w="80"/>
              <w:left w:type="dxa" w:w="100"/>
              <w:bottom w:type="dxa" w:w="100"/>
              <w:right w:type="dxa" w:w="100"/>
            </w:tcMar>
          </w:tcPr>
          <w:p>
            <w:pPr>
              <w:spacing w:before="0" w:after="0" w:line="276"/>
              <w:jc w:val="center"/>
            </w:pPr>
            <w:r>
              <w:rPr>
                <w:rFonts w:ascii="Arial" w:cs="Arial" w:eastAsia="Arial" w:hAnsi="Arial"/>
                <w:color w:val="1C1C1C"/>
                <w:sz w:val="18"/>
                <w:szCs w:val="18"/>
              </w:rPr>
              <w:t xml:space="preserve">Managers review, confirm, or adjust  --  every disagreement creates an audit trail.</w:t>
            </w:r>
          </w:p>
        </w:tc>
        <w:tc>
          <w:tcPr>
            <w:tcW w:type="dxa" w:w="2340"/>
            <w:tcBorders>
              <w:top w:val="single" w:color="C8D8E8" w:sz="1"/>
              <w:left w:val="single" w:color="C8D8E8" w:sz="1"/>
              <w:bottom w:val="single" w:color="C8D8E8" w:sz="1"/>
              <w:right w:val="single" w:color="C8D8E8" w:sz="1"/>
            </w:tcBorders>
            <w:shd w:fill="FFFFFF" w:val="clear"/>
            <w:tcMar>
              <w:top w:type="dxa" w:w="80"/>
              <w:left w:type="dxa" w:w="100"/>
              <w:bottom w:type="dxa" w:w="100"/>
              <w:right w:type="dxa" w:w="100"/>
            </w:tcMar>
          </w:tcPr>
          <w:p>
            <w:pPr>
              <w:spacing w:before="0" w:after="0" w:line="276"/>
              <w:jc w:val="center"/>
            </w:pPr>
            <w:r>
              <w:rPr>
                <w:rFonts w:ascii="Arial" w:cs="Arial" w:eastAsia="Arial" w:hAnsi="Arial"/>
                <w:color w:val="1C1C1C"/>
                <w:sz w:val="18"/>
                <w:szCs w:val="18"/>
              </w:rPr>
              <w:t xml:space="preserve">Verified data surfaces skill gaps and prescribes targeted learning paths.</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5  --  Three-Pillar Assessment Framework</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40"/>
              <w:left w:type="dxa" w:w="240"/>
              <w:bottom w:type="dxa" w:w="140"/>
              <w:right w:type="dxa" w:w="240"/>
            </w:tcMar>
          </w:tcPr>
          <w:p>
            <w:r>
              <w:rPr>
                <w:rFonts w:ascii="Arial" w:cs="Arial" w:eastAsia="Arial" w:hAnsi="Arial"/>
                <w:b/>
                <w:bCs/>
                <w:color w:val="FFFFFF"/>
                <w:sz w:val="26"/>
                <w:szCs w:val="26"/>
              </w:rPr>
              <w:t xml:space="preserve">OUR FRAMEWORK</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Edstellar's Three-Pillar Assessment Framework</w:t>
      </w:r>
    </w:p>
    <w:p>
      <w:pPr>
        <w:spacing w:before="80" w:after="80" w:line="276"/>
      </w:pPr>
      <w:r>
        <w:rPr>
          <w:rFonts w:ascii="Arial" w:cs="Arial" w:eastAsia="Arial" w:hAnsi="Arial"/>
          <w:color w:val="1C1C1C"/>
          <w:sz w:val="22"/>
          <w:szCs w:val="22"/>
        </w:rPr>
        <w:t xml:space="preserve">Every assessment engagement draws from one or more pillars, designed to work independently or as an integrated diagnostic that gives you a complete view of your workforce capability.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EBF4FA" w:val="clear"/>
            <w:tcMar>
              <w:top w:type="dxa" w:w="140"/>
              <w:left w:type="dxa" w:w="220"/>
              <w:bottom w:type="dxa" w:w="140"/>
              <w:right w:type="dxa" w:w="220"/>
            </w:tcMar>
          </w:tcPr>
          <w:p>
            <w:r>
              <w:rPr>
                <w:rFonts w:ascii="Arial" w:cs="Arial" w:eastAsia="Arial" w:hAnsi="Arial"/>
                <w:b/>
                <w:bCs/>
                <w:color w:val="1B3A6B"/>
                <w:sz w:val="24"/>
                <w:szCs w:val="24"/>
              </w:rPr>
              <w:t xml:space="preserve">Pillar 1: Behavioral &amp; Psychological Profiling</w:t>
            </w:r>
          </w:p>
          <w:p>
            <w:pPr>
              <w:spacing w:before="60" w:after="80"/>
            </w:pPr>
            <w:r>
              <w:rPr>
                <w:rFonts w:ascii="Arial" w:cs="Arial" w:eastAsia="Arial" w:hAnsi="Arial"/>
                <w:color w:val="1C1C1C"/>
                <w:sz w:val="21"/>
                <w:szCs w:val="21"/>
              </w:rPr>
              <w:t xml:space="preserve">Understand who your people are beneath the surface. Psychometric, cognitive, and emotional intelligence assessments that reveal behavioral drivers, decision-making patterns, and leadership temperament.</w:t>
            </w:r>
          </w:p>
        </w:tc>
      </w:tr>
    </w:tbl>
    <w:p>
      <w:r>
        <w:rPr>
          <w:rFonts w:ascii="Arial" w:cs="Arial" w:eastAsia="Arial" w:hAnsi="Arial"/>
        </w:rPr>
        <w:t xml:space="preserve"/>
      </w:r>
    </w:p>
    <w:p>
      <w:pPr>
        <w:pStyle w:val="ListParagraph"/>
        <w:numPr>
          <w:ilvl w:val="0"/>
          <w:numId w:val="2"/>
        </w:numPr>
        <w:spacing w:before="60" w:after="60"/>
      </w:pPr>
      <w:r>
        <w:rPr>
          <w:rFonts w:ascii="Arial" w:cs="Arial" w:eastAsia="Arial" w:hAnsi="Arial"/>
          <w:b/>
          <w:bCs/>
          <w:color w:val="1B3A6B"/>
          <w:sz w:val="22"/>
          <w:szCs w:val="22"/>
        </w:rPr>
        <w:t xml:space="preserve">Psychometric Assessments  --  </w:t>
      </w:r>
      <w:r>
        <w:rPr>
          <w:rFonts w:ascii="Arial" w:cs="Arial" w:eastAsia="Arial" w:hAnsi="Arial"/>
          <w:color w:val="1C1C1C"/>
          <w:sz w:val="22"/>
          <w:szCs w:val="22"/>
        </w:rPr>
        <w:t xml:space="preserve">MBTI, DiSC, Hogan, 16PF</w:t>
      </w:r>
    </w:p>
    <w:p>
      <w:pPr>
        <w:pStyle w:val="ListParagraph"/>
        <w:numPr>
          <w:ilvl w:val="0"/>
          <w:numId w:val="2"/>
        </w:numPr>
        <w:spacing w:before="60" w:after="60"/>
      </w:pPr>
      <w:r>
        <w:rPr>
          <w:rFonts w:ascii="Arial" w:cs="Arial" w:eastAsia="Arial" w:hAnsi="Arial"/>
          <w:b/>
          <w:bCs/>
          <w:color w:val="1B3A6B"/>
          <w:sz w:val="22"/>
          <w:szCs w:val="22"/>
        </w:rPr>
        <w:t xml:space="preserve">Cognitive &amp; Decision-Making  --  </w:t>
      </w:r>
      <w:r>
        <w:rPr>
          <w:rFonts w:ascii="Arial" w:cs="Arial" w:eastAsia="Arial" w:hAnsi="Arial"/>
          <w:color w:val="1C1C1C"/>
          <w:sz w:val="22"/>
          <w:szCs w:val="22"/>
        </w:rPr>
        <w:t xml:space="preserve">Watson-Glaser, Raven's, SHL Verify</w:t>
      </w:r>
    </w:p>
    <w:p>
      <w:pPr>
        <w:pStyle w:val="ListParagraph"/>
        <w:numPr>
          <w:ilvl w:val="0"/>
          <w:numId w:val="2"/>
        </w:numPr>
        <w:spacing w:before="60" w:after="60"/>
      </w:pPr>
      <w:r>
        <w:rPr>
          <w:rFonts w:ascii="Arial" w:cs="Arial" w:eastAsia="Arial" w:hAnsi="Arial"/>
          <w:b/>
          <w:bCs/>
          <w:color w:val="1B3A6B"/>
          <w:sz w:val="22"/>
          <w:szCs w:val="22"/>
        </w:rPr>
        <w:t xml:space="preserve">Emotional Intelligence (EQ)  --  </w:t>
      </w:r>
      <w:r>
        <w:rPr>
          <w:rFonts w:ascii="Arial" w:cs="Arial" w:eastAsia="Arial" w:hAnsi="Arial"/>
          <w:color w:val="1C1C1C"/>
          <w:sz w:val="22"/>
          <w:szCs w:val="22"/>
        </w:rPr>
        <w:t xml:space="preserve">EQ-i 2.0, Genos, MSCEIT</w:t>
      </w:r>
    </w:p>
    <w:p>
      <w:pPr>
        <w:spacing w:before="80" w:after="100"/>
      </w:pPr>
      <w:r>
        <w:rPr>
          <w:rFonts w:ascii="Arial" w:cs="Arial" w:eastAsia="Arial" w:hAnsi="Arial"/>
          <w:b/>
          <w:bCs/>
          <w:color w:val="0E7C7B"/>
          <w:sz w:val="21"/>
          <w:szCs w:val="21"/>
        </w:rPr>
        <w:t xml:space="preserve">-&gt;  Explore Behavioral Profiling</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EBF4FA" w:val="clear"/>
            <w:tcMar>
              <w:top w:type="dxa" w:w="140"/>
              <w:left w:type="dxa" w:w="220"/>
              <w:bottom w:type="dxa" w:w="140"/>
              <w:right w:type="dxa" w:w="220"/>
            </w:tcMar>
          </w:tcPr>
          <w:p>
            <w:r>
              <w:rPr>
                <w:rFonts w:ascii="Arial" w:cs="Arial" w:eastAsia="Arial" w:hAnsi="Arial"/>
                <w:b/>
                <w:bCs/>
                <w:color w:val="1B3A6B"/>
                <w:sz w:val="24"/>
                <w:szCs w:val="24"/>
              </w:rPr>
              <w:t xml:space="preserve">Pillar 2: Skills &amp; Competency Validation</w:t>
            </w:r>
          </w:p>
          <w:p>
            <w:pPr>
              <w:spacing w:before="60" w:after="80"/>
            </w:pPr>
            <w:r>
              <w:rPr>
                <w:rFonts w:ascii="Arial" w:cs="Arial" w:eastAsia="Arial" w:hAnsi="Arial"/>
                <w:color w:val="1C1C1C"/>
                <w:sz w:val="21"/>
                <w:szCs w:val="21"/>
              </w:rPr>
              <w:t xml:space="preserve">Validate what your workforce can actually do, not what their CVs claim. Structured measurement of role-relevant competencies, applied decision-making under realistic conditions, and conflict management effectiveness.</w:t>
            </w:r>
          </w:p>
        </w:tc>
      </w:tr>
    </w:tbl>
    <w:p>
      <w:r>
        <w:rPr>
          <w:rFonts w:ascii="Arial" w:cs="Arial" w:eastAsia="Arial" w:hAnsi="Arial"/>
        </w:rPr>
        <w:t xml:space="preserve"/>
      </w:r>
    </w:p>
    <w:p>
      <w:pPr>
        <w:pStyle w:val="ListParagraph"/>
        <w:numPr>
          <w:ilvl w:val="0"/>
          <w:numId w:val="2"/>
        </w:numPr>
        <w:spacing w:before="60" w:after="60"/>
      </w:pPr>
      <w:r>
        <w:rPr>
          <w:rFonts w:ascii="Arial" w:cs="Arial" w:eastAsia="Arial" w:hAnsi="Arial"/>
          <w:b/>
          <w:bCs/>
          <w:color w:val="1B3A6B"/>
          <w:sz w:val="22"/>
          <w:szCs w:val="22"/>
        </w:rPr>
        <w:t xml:space="preserve">Skill Proficiency &amp; Role-Based Assessments  --  </w:t>
      </w:r>
      <w:r>
        <w:rPr>
          <w:rFonts w:ascii="Arial" w:cs="Arial" w:eastAsia="Arial" w:hAnsi="Arial"/>
          <w:color w:val="1C1C1C"/>
          <w:sz w:val="22"/>
          <w:szCs w:val="22"/>
        </w:rPr>
        <w:t xml:space="preserve">Lominger, Korn Ferry, Custom Frameworks</w:t>
      </w:r>
    </w:p>
    <w:p>
      <w:pPr>
        <w:pStyle w:val="ListParagraph"/>
        <w:numPr>
          <w:ilvl w:val="0"/>
          <w:numId w:val="2"/>
        </w:numPr>
        <w:spacing w:before="60" w:after="60"/>
      </w:pPr>
      <w:r>
        <w:rPr>
          <w:rFonts w:ascii="Arial" w:cs="Arial" w:eastAsia="Arial" w:hAnsi="Arial"/>
          <w:b/>
          <w:bCs/>
          <w:color w:val="1B3A6B"/>
          <w:sz w:val="22"/>
          <w:szCs w:val="22"/>
        </w:rPr>
        <w:t xml:space="preserve">Situational Judgement Tests  --  </w:t>
      </w:r>
      <w:r>
        <w:rPr>
          <w:rFonts w:ascii="Arial" w:cs="Arial" w:eastAsia="Arial" w:hAnsi="Arial"/>
          <w:color w:val="1C1C1C"/>
          <w:sz w:val="22"/>
          <w:szCs w:val="22"/>
        </w:rPr>
        <w:t xml:space="preserve">SHL SJT, Cappfinity, TalentLens</w:t>
      </w:r>
    </w:p>
    <w:p>
      <w:pPr>
        <w:pStyle w:val="ListParagraph"/>
        <w:numPr>
          <w:ilvl w:val="0"/>
          <w:numId w:val="2"/>
        </w:numPr>
        <w:spacing w:before="60" w:after="60"/>
      </w:pPr>
      <w:r>
        <w:rPr>
          <w:rFonts w:ascii="Arial" w:cs="Arial" w:eastAsia="Arial" w:hAnsi="Arial"/>
          <w:b/>
          <w:bCs/>
          <w:color w:val="1B3A6B"/>
          <w:sz w:val="22"/>
          <w:szCs w:val="22"/>
        </w:rPr>
        <w:t xml:space="preserve">Conflict Management Evaluations  --  </w:t>
      </w:r>
      <w:r>
        <w:rPr>
          <w:rFonts w:ascii="Arial" w:cs="Arial" w:eastAsia="Arial" w:hAnsi="Arial"/>
          <w:color w:val="1C1C1C"/>
          <w:sz w:val="22"/>
          <w:szCs w:val="22"/>
        </w:rPr>
        <w:t xml:space="preserve">TKI, Kraybill, IDI</w:t>
      </w:r>
    </w:p>
    <w:p>
      <w:pPr>
        <w:spacing w:before="80" w:after="100"/>
      </w:pPr>
      <w:r>
        <w:rPr>
          <w:rFonts w:ascii="Arial" w:cs="Arial" w:eastAsia="Arial" w:hAnsi="Arial"/>
          <w:b/>
          <w:bCs/>
          <w:color w:val="0E7C7B"/>
          <w:sz w:val="21"/>
          <w:szCs w:val="21"/>
        </w:rPr>
        <w:t xml:space="preserve">-&gt;  Explore Skills Validation</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EBF4FA" w:val="clear"/>
            <w:tcMar>
              <w:top w:type="dxa" w:w="140"/>
              <w:left w:type="dxa" w:w="220"/>
              <w:bottom w:type="dxa" w:w="140"/>
              <w:right w:type="dxa" w:w="220"/>
            </w:tcMar>
          </w:tcPr>
          <w:p>
            <w:r>
              <w:rPr>
                <w:rFonts w:ascii="Arial" w:cs="Arial" w:eastAsia="Arial" w:hAnsi="Arial"/>
                <w:b/>
                <w:bCs/>
                <w:color w:val="1B3A6B"/>
                <w:sz w:val="24"/>
                <w:szCs w:val="24"/>
              </w:rPr>
              <w:t xml:space="preserve">Pillar 3: Org Alignment &amp; Multi-Rater Feedback</w:t>
            </w:r>
          </w:p>
          <w:p>
            <w:pPr>
              <w:spacing w:before="60" w:after="80"/>
            </w:pPr>
            <w:r>
              <w:rPr>
                <w:rFonts w:ascii="Arial" w:cs="Arial" w:eastAsia="Arial" w:hAnsi="Arial"/>
                <w:color w:val="1C1C1C"/>
                <w:sz w:val="21"/>
                <w:szCs w:val="21"/>
              </w:rPr>
              <w:t xml:space="preserve">See your leaders through every stakeholder's eyes. From 45 degrees quick-pulse to full 360 degrees multi-rater programs, combined with leadership potential and culture alignment diagnostics that inform succession and development strategy.</w:t>
            </w:r>
          </w:p>
        </w:tc>
      </w:tr>
    </w:tbl>
    <w:p>
      <w:r>
        <w:rPr>
          <w:rFonts w:ascii="Arial" w:cs="Arial" w:eastAsia="Arial" w:hAnsi="Arial"/>
        </w:rPr>
        <w:t xml:space="preserve"/>
      </w:r>
    </w:p>
    <w:p>
      <w:pPr>
        <w:pStyle w:val="ListParagraph"/>
        <w:numPr>
          <w:ilvl w:val="0"/>
          <w:numId w:val="2"/>
        </w:numPr>
        <w:spacing w:before="60" w:after="60"/>
      </w:pPr>
      <w:r>
        <w:rPr>
          <w:rFonts w:ascii="Arial" w:cs="Arial" w:eastAsia="Arial" w:hAnsi="Arial"/>
          <w:b/>
          <w:bCs/>
          <w:color w:val="1B3A6B"/>
          <w:sz w:val="22"/>
          <w:szCs w:val="22"/>
        </w:rPr>
        <w:t xml:space="preserve">Leadership Potential Assessments  --  </w:t>
      </w:r>
      <w:r>
        <w:rPr>
          <w:rFonts w:ascii="Arial" w:cs="Arial" w:eastAsia="Arial" w:hAnsi="Arial"/>
          <w:color w:val="1C1C1C"/>
          <w:sz w:val="22"/>
          <w:szCs w:val="22"/>
        </w:rPr>
        <w:t xml:space="preserve">Gallup StrengthsFinder, Saville Wave, Hogan Lead</w:t>
      </w:r>
    </w:p>
    <w:p>
      <w:pPr>
        <w:pStyle w:val="ListParagraph"/>
        <w:numPr>
          <w:ilvl w:val="0"/>
          <w:numId w:val="2"/>
        </w:numPr>
        <w:spacing w:before="60" w:after="60"/>
      </w:pPr>
      <w:r>
        <w:rPr>
          <w:rFonts w:ascii="Arial" w:cs="Arial" w:eastAsia="Arial" w:hAnsi="Arial"/>
          <w:b/>
          <w:bCs/>
          <w:color w:val="1B3A6B"/>
          <w:sz w:val="22"/>
          <w:szCs w:val="22"/>
        </w:rPr>
        <w:t xml:space="preserve">Culture &amp; Values Alignment  --  </w:t>
      </w:r>
      <w:r>
        <w:rPr>
          <w:rFonts w:ascii="Arial" w:cs="Arial" w:eastAsia="Arial" w:hAnsi="Arial"/>
          <w:color w:val="1C1C1C"/>
          <w:sz w:val="22"/>
          <w:szCs w:val="22"/>
        </w:rPr>
        <w:t xml:space="preserve">Denison, Barrett CVA, OCI</w:t>
      </w:r>
    </w:p>
    <w:p>
      <w:pPr>
        <w:pStyle w:val="ListParagraph"/>
        <w:numPr>
          <w:ilvl w:val="0"/>
          <w:numId w:val="2"/>
        </w:numPr>
        <w:spacing w:before="60" w:after="60"/>
      </w:pPr>
      <w:r>
        <w:rPr>
          <w:rFonts w:ascii="Arial" w:cs="Arial" w:eastAsia="Arial" w:hAnsi="Arial"/>
          <w:b/>
          <w:bCs/>
          <w:color w:val="1B3A6B"/>
          <w:sz w:val="22"/>
          <w:szCs w:val="22"/>
        </w:rPr>
        <w:t xml:space="preserve">45 / 90 / 180 / 270 / 360-Degree Feedback  --  </w:t>
      </w:r>
      <w:r>
        <w:rPr>
          <w:rFonts w:ascii="Arial" w:cs="Arial" w:eastAsia="Arial" w:hAnsi="Arial"/>
          <w:color w:val="1C1C1C"/>
          <w:sz w:val="22"/>
          <w:szCs w:val="22"/>
        </w:rPr>
        <w:t xml:space="preserve">Qualtrics 360, SurveyMonkey, Custom Multi-Rater</w:t>
      </w:r>
    </w:p>
    <w:p>
      <w:pPr>
        <w:spacing w:before="80" w:after="60"/>
      </w:pPr>
      <w:r>
        <w:rPr>
          <w:rFonts w:ascii="Arial" w:cs="Arial" w:eastAsia="Arial" w:hAnsi="Arial"/>
          <w:b/>
          <w:bCs/>
          <w:color w:val="0E7C7B"/>
          <w:sz w:val="21"/>
          <w:szCs w:val="21"/>
        </w:rPr>
        <w:t xml:space="preserve">-&gt;  Explore 360 Feedback</w:t>
      </w:r>
    </w:p>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6  --  Enterprise Assessment Services (Full Catalogue)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ASSESSMENT TYPES</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Enterprise Assessment Services That Drive Action</w:t>
      </w:r>
    </w:p>
    <w:p>
      <w:pPr>
        <w:spacing w:before="80" w:after="80" w:line="276"/>
      </w:pPr>
      <w:r>
        <w:rPr>
          <w:rFonts w:ascii="Arial" w:cs="Arial" w:eastAsia="Arial" w:hAnsi="Arial"/>
          <w:color w:val="1C1C1C"/>
          <w:sz w:val="22"/>
          <w:szCs w:val="22"/>
        </w:rPr>
        <w:t xml:space="preserve">Eleven validated assessment instruments and service categories, each designed for corporate contexts, administered by certified practitioners, and connected to development pathways. Services marked NEW are additional capabilities added based on global competitor benchmarking.</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Psychometric Assessments</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Cognitive &amp; Decision-Making</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Emotional Intelligence (EQ)</w:t>
            </w:r>
          </w:p>
        </w:tc>
      </w:tr>
      <w:tr>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PERSONALITY</w:t>
            </w:r>
          </w:p>
        </w:tc>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DECISION-MAKING</w:t>
            </w:r>
          </w:p>
        </w:tc>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LEADERSHIP</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MBTI, DiSC, Hogan, 16PF  --  personality profiling for selection and development.</w:t>
            </w:r>
          </w:p>
        </w:tc>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Watson-Glaser, Raven's, SHL Verify  --  measure reasoning, critical thinking and decision quality.</w:t>
            </w:r>
          </w:p>
        </w:tc>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EQ-i 2.0, Genos, MSCEIT  --  emotional intelligence instruments for leaders and teams.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Skill Proficiency</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Role-Based Skill Validation</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Situational Judgement Tests</w:t>
            </w:r>
          </w:p>
        </w:tc>
      </w:tr>
      <w:tr>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ROLE READINESS</w:t>
            </w:r>
          </w:p>
        </w:tc>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JOB FIT</w:t>
            </w:r>
          </w:p>
        </w:tc>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DECISION-MAKING</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Lominger, Korn Ferry, Custom Frameworks  --  validate role-relevant capability against defined benchmarks.</w:t>
            </w:r>
          </w:p>
        </w:tc>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Structured role-fit evaluations against competency profiles  --  for selection and internal mobility.</w:t>
            </w:r>
          </w:p>
        </w:tc>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SHL SJT, Cappfinity, TalentLens  --  measure applied judgement in realistic workplace scenarios.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Conflict Management</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Leadership Potential</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360-Degree Feedback</w:t>
            </w:r>
          </w:p>
        </w:tc>
      </w:tr>
      <w:tr>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INTERPERSONAL</w:t>
            </w:r>
          </w:p>
        </w:tc>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SUCCESSION</w:t>
            </w:r>
          </w:p>
        </w:tc>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MULTI-RATER</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TKI, Kraybill, IDI  --  identify conflict styles and build interpersonal effectiveness.</w:t>
            </w:r>
          </w:p>
        </w:tc>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Gallup StrengthsFinder, Saville Wave, Hogan Lead  --  identify and fast-track high-potential leaders.</w:t>
            </w:r>
          </w:p>
        </w:tc>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45 / 90 / 180 / 270 / 360 degrees multi-rater programs  --  Qualtrics, SurveyMonkey, Custom platforms.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Culture &amp; Values Alignment</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Digital Readiness &amp; Future Skills  * NEW</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Virtual, Gamified &amp; Video Assessments  * NEW</w:t>
            </w:r>
          </w:p>
        </w:tc>
      </w:tr>
      <w:tr>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CULTURE</w:t>
            </w:r>
          </w:p>
        </w:tc>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FUTURE-READY</w:t>
            </w:r>
          </w:p>
        </w:tc>
        <w:tc>
          <w:tcPr>
            <w:tcW w:type="dxa" w:w="3120"/>
            <w:tcBorders>
              <w:top w:val="single" w:color="C8D8E8" w:sz="1"/>
              <w:left w:val="single" w:color="C8D8E8" w:sz="1"/>
              <w:bottom w:val="single" w:color="C8D8E8" w:sz="1"/>
              <w:right w:val="single" w:color="C8D8E8" w:sz="1"/>
            </w:tcBorders>
            <w:shd w:fill="EBF4FA" w:val="clear"/>
            <w:tcMar>
              <w:top w:type="dxa" w:w="60"/>
              <w:left w:type="dxa" w:w="120"/>
              <w:bottom w:type="dxa" w:w="60"/>
              <w:right w:type="dxa" w:w="120"/>
            </w:tcMar>
          </w:tcPr>
          <w:p>
            <w:pPr>
              <w:jc w:val="center"/>
            </w:pPr>
            <w:r>
              <w:rPr>
                <w:rFonts w:ascii="Arial" w:cs="Arial" w:eastAsia="Arial" w:hAnsi="Arial"/>
                <w:b/>
                <w:bCs/>
                <w:caps/>
                <w:color w:val="0E7C7B"/>
                <w:sz w:val="16"/>
                <w:szCs w:val="16"/>
              </w:rPr>
              <w:t xml:space="preserve">VIRTUAL / REMOTE</w:t>
            </w:r>
          </w:p>
        </w:tc>
      </w:tr>
      <w:tr>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Denison, Barrett CVA, OCI  --  culture and values diagnostics that inform organisational design.</w:t>
            </w:r>
          </w:p>
        </w:tc>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Digital Skills, Agile Mindset Index, Learning Agility Index, Resilience &amp; EI indices  --  evaluate workforce readiness for transformation.</w:t>
            </w:r>
          </w:p>
        </w:tc>
        <w:tc>
          <w:tcPr>
            <w:tcW w:type="dxa" w:w="3120"/>
            <w:tcBorders>
              <w:top w:val="single" w:color="C8D8E8" w:sz="1"/>
              <w:left w:val="single" w:color="C8D8E8" w:sz="1"/>
              <w:bottom w:val="single" w:color="C8D8E8" w:sz="1"/>
              <w:right w:val="single" w:color="C8D8E8" w:sz="1"/>
            </w:tcBorders>
            <w:shd w:fill="FFFFFF" w:val="clear"/>
            <w:tcMar>
              <w:top w:type="dxa" w:w="80"/>
              <w:left w:type="dxa" w:w="120"/>
              <w:bottom w:type="dxa" w:w="100"/>
              <w:right w:type="dxa" w:w="120"/>
            </w:tcMar>
          </w:tcPr>
          <w:p>
            <w:pPr>
              <w:spacing w:before="0" w:after="0" w:line="276"/>
            </w:pPr>
            <w:r>
              <w:rPr>
                <w:rFonts w:ascii="Arial" w:cs="Arial" w:eastAsia="Arial" w:hAnsi="Arial"/>
                <w:color w:val="1C1C1C"/>
                <w:sz w:val="18"/>
                <w:szCs w:val="18"/>
              </w:rPr>
              <w:t xml:space="preserve">Virtual Assessment Centres, Remote Proctoring, Gamified Assessments, Video Interview platforms  --  assess talent anytime, anywhere.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
              <w:left w:val="single" w:color="3C3489" w:sz="1"/>
              <w:bottom w:val="single" w:color="3C3489" w:sz="1"/>
              <w:right w:val="single" w:color="3C3489" w:sz="1"/>
            </w:tcBorders>
            <w:shd w:fill="E8E4FB" w:val="clear"/>
            <w:tcMar>
              <w:top w:type="dxa" w:w="140"/>
              <w:left w:type="dxa" w:w="220"/>
              <w:bottom w:type="dxa" w:w="140"/>
              <w:right w:type="dxa" w:w="220"/>
            </w:tcMar>
          </w:tcPr>
          <w:p>
            <w:r>
              <w:rPr>
                <w:rFonts w:ascii="Arial" w:cs="Arial" w:eastAsia="Arial" w:hAnsi="Arial"/>
                <w:color w:val="1C1C1C"/>
                <w:sz w:val="20"/>
                <w:szCs w:val="20"/>
              </w:rPr>
              <w:t xml:space="preserve">* NEW  --  Digital Readiness, Agile Mindset, Learning Agility, and Virtual/Gamified Assessment capabilities have been added to match Aon and TalentGuard's service coverage and to target growing search demand for future-skills and remote assessment queries.</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7  --  Resource Download</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EBF4FA" w:val="clear"/>
            <w:tcMar>
              <w:top w:type="dxa" w:w="140"/>
              <w:left w:type="dxa" w:w="220"/>
              <w:bottom w:type="dxa" w:w="140"/>
              <w:right w:type="dxa" w:w="220"/>
            </w:tcMar>
          </w:tcPr>
          <w:p>
            <w:pPr>
              <w:spacing w:before="0" w:after="60"/>
            </w:pPr>
            <w:r>
              <w:rPr>
                <w:rFonts w:ascii="Arial" w:cs="Arial" w:eastAsia="Arial" w:hAnsi="Arial"/>
                <w:b/>
                <w:bCs/>
                <w:caps/>
                <w:color w:val="0E7C7B"/>
                <w:sz w:val="18"/>
                <w:szCs w:val="18"/>
              </w:rPr>
              <w:t xml:space="preserve">RESOURCE</w:t>
            </w:r>
          </w:p>
          <w:p>
            <w:r>
              <w:rPr>
                <w:rFonts w:ascii="Arial" w:cs="Arial" w:eastAsia="Arial" w:hAnsi="Arial"/>
                <w:b/>
                <w:bCs/>
                <w:color w:val="1B3A6B"/>
                <w:sz w:val="28"/>
                <w:szCs w:val="28"/>
              </w:rPr>
              <w:t xml:space="preserve">Download a Sample Diagnostic Report</w:t>
            </w:r>
          </w:p>
          <w:p>
            <w:pPr>
              <w:spacing w:before="60" w:after="80"/>
            </w:pPr>
            <w:r>
              <w:rPr>
                <w:rFonts w:ascii="Arial" w:cs="Arial" w:eastAsia="Arial" w:hAnsi="Arial"/>
                <w:color w:val="1C1C1C"/>
                <w:sz w:val="21"/>
                <w:szCs w:val="21"/>
              </w:rPr>
              <w:t xml:space="preserve">See how Edstellar structures assessment findings into executive-ready, actionable development recommendations  --  with gap analysis, risk ratings, and a clear learning prescription.</w:t>
            </w:r>
          </w:p>
          <w:p>
            <w:r>
              <w:rPr>
                <w:rFonts w:ascii="Arial" w:cs="Arial" w:eastAsia="Arial" w:hAnsi="Arial"/>
                <w:b/>
                <w:bCs/>
                <w:color w:val="0E7C7B"/>
                <w:sz w:val="21"/>
                <w:szCs w:val="21"/>
              </w:rPr>
              <w:t xml:space="preserve">-&gt;  Download Sample Report</w:t>
            </w:r>
            <w:r>
              <w:rPr>
                <w:rFonts w:ascii="Arial" w:cs="Arial" w:eastAsia="Arial" w:hAnsi="Arial"/>
                <w:color w:val="5A5A5A"/>
                <w:sz w:val="21"/>
                <w:szCs w:val="21"/>
              </w:rPr>
              <w:t xml:space="preserve">   |   </w:t>
            </w:r>
            <w:r>
              <w:rPr>
                <w:rFonts w:ascii="Arial" w:cs="Arial" w:eastAsia="Arial" w:hAnsi="Arial"/>
                <w:b/>
                <w:bCs/>
                <w:color w:val="0E7C7B"/>
                <w:sz w:val="21"/>
                <w:szCs w:val="21"/>
              </w:rPr>
              <w:t xml:space="preserve">-&gt;  View Sample Executive Output</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8  --  Diagnose-to-Develop Closed-Loop Model</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OUR CLOSED-LOOP MODEL</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The Diagnose-to-Develop Advantage</w:t>
      </w:r>
    </w:p>
    <w:p>
      <w:pPr>
        <w:spacing w:before="80" w:after="80" w:line="276"/>
      </w:pPr>
      <w:r>
        <w:rPr>
          <w:rFonts w:ascii="Arial" w:cs="Arial" w:eastAsia="Arial" w:hAnsi="Arial"/>
          <w:color w:val="1C1C1C"/>
          <w:sz w:val="22"/>
          <w:szCs w:val="22"/>
        </w:rPr>
        <w:t xml:space="preserve">Most assessment vendors stop at the report. Edstellar closes the loop. Our Diagnose-to-Develop model connects every diagnostic finding directly to targeted development action through training, OD consulting, or skills intelligence. Insights never sit on a shelf.</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6B" w:val="clear"/>
            <w:tcMar>
              <w:top w:type="dxa" w:w="100"/>
              <w:left w:type="dxa" w:w="100"/>
              <w:bottom w:type="dxa" w:w="0"/>
              <w:right w:type="dxa" w:w="100"/>
            </w:tcMar>
          </w:tcPr>
          <w:p>
            <w:pPr>
              <w:jc w:val="center"/>
            </w:pPr>
            <w:r>
              <w:rPr>
                <w:rFonts w:ascii="Arial" w:cs="Arial" w:eastAsia="Arial" w:hAnsi="Arial"/>
                <w:b/>
                <w:bCs/>
                <w:color w:val="E8A020"/>
                <w:sz w:val="24"/>
                <w:szCs w:val="24"/>
              </w:rPr>
              <w:t xml:space="preserve">01</w:t>
            </w:r>
          </w:p>
        </w:tc>
        <w:tc>
          <w:tcPr>
            <w:tcW w:type="dxa" w:w="2340"/>
            <w:tcBorders>
              <w:top w:val="none" w:color="FFFFFF" w:sz="0"/>
              <w:left w:val="none" w:color="FFFFFF" w:sz="0"/>
              <w:bottom w:val="none" w:color="FFFFFF" w:sz="0"/>
              <w:right w:val="none" w:color="FFFFFF" w:sz="0"/>
            </w:tcBorders>
            <w:shd w:fill="0E7C7B" w:val="clear"/>
            <w:tcMar>
              <w:top w:type="dxa" w:w="100"/>
              <w:left w:type="dxa" w:w="100"/>
              <w:bottom w:type="dxa" w:w="0"/>
              <w:right w:type="dxa" w:w="100"/>
            </w:tcMar>
          </w:tcPr>
          <w:p>
            <w:pPr>
              <w:jc w:val="center"/>
            </w:pPr>
            <w:r>
              <w:rPr>
                <w:rFonts w:ascii="Arial" w:cs="Arial" w:eastAsia="Arial" w:hAnsi="Arial"/>
                <w:b/>
                <w:bCs/>
                <w:color w:val="E8A020"/>
                <w:sz w:val="24"/>
                <w:szCs w:val="24"/>
              </w:rPr>
              <w:t xml:space="preserve">02</w:t>
            </w:r>
          </w:p>
        </w:tc>
        <w:tc>
          <w:tcPr>
            <w:tcW w:type="dxa" w:w="2340"/>
            <w:tcBorders>
              <w:top w:val="none" w:color="FFFFFF" w:sz="0"/>
              <w:left w:val="none" w:color="FFFFFF" w:sz="0"/>
              <w:bottom w:val="none" w:color="FFFFFF" w:sz="0"/>
              <w:right w:val="none" w:color="FFFFFF" w:sz="0"/>
            </w:tcBorders>
            <w:shd w:fill="085041" w:val="clear"/>
            <w:tcMar>
              <w:top w:type="dxa" w:w="100"/>
              <w:left w:type="dxa" w:w="100"/>
              <w:bottom w:type="dxa" w:w="0"/>
              <w:right w:type="dxa" w:w="100"/>
            </w:tcMar>
          </w:tcPr>
          <w:p>
            <w:pPr>
              <w:jc w:val="center"/>
            </w:pPr>
            <w:r>
              <w:rPr>
                <w:rFonts w:ascii="Arial" w:cs="Arial" w:eastAsia="Arial" w:hAnsi="Arial"/>
                <w:b/>
                <w:bCs/>
                <w:color w:val="E8A020"/>
                <w:sz w:val="24"/>
                <w:szCs w:val="24"/>
              </w:rPr>
              <w:t xml:space="preserve">03</w:t>
            </w:r>
          </w:p>
        </w:tc>
        <w:tc>
          <w:tcPr>
            <w:tcW w:type="dxa" w:w="2340"/>
            <w:tcBorders>
              <w:top w:val="none" w:color="FFFFFF" w:sz="0"/>
              <w:left w:val="none" w:color="FFFFFF" w:sz="0"/>
              <w:bottom w:val="none" w:color="FFFFFF" w:sz="0"/>
              <w:right w:val="none" w:color="FFFFFF" w:sz="0"/>
            </w:tcBorders>
            <w:shd w:fill="0A4A6E" w:val="clear"/>
            <w:tcMar>
              <w:top w:type="dxa" w:w="100"/>
              <w:left w:type="dxa" w:w="100"/>
              <w:bottom w:type="dxa" w:w="0"/>
              <w:right w:type="dxa" w:w="100"/>
            </w:tcMar>
          </w:tcPr>
          <w:p>
            <w:pPr>
              <w:jc w:val="center"/>
            </w:pPr>
            <w:r>
              <w:rPr>
                <w:rFonts w:ascii="Arial" w:cs="Arial" w:eastAsia="Arial" w:hAnsi="Arial"/>
                <w:b/>
                <w:bCs/>
                <w:color w:val="E8A020"/>
                <w:sz w:val="24"/>
                <w:szCs w:val="24"/>
              </w:rPr>
              <w:t xml:space="preserve">04</w:t>
            </w:r>
          </w:p>
        </w:tc>
      </w:tr>
      <w:tr>
        <w:tc>
          <w:tcPr>
            <w:tcW w:type="dxa" w:w="2340"/>
            <w:tcBorders>
              <w:top w:val="none" w:color="FFFFFF" w:sz="0"/>
              <w:left w:val="none" w:color="FFFFFF" w:sz="0"/>
              <w:bottom w:val="none" w:color="FFFFFF" w:sz="0"/>
              <w:right w:val="none" w:color="FFFFFF" w:sz="0"/>
            </w:tcBorders>
            <w:shd w:fill="1B3A6B"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Diagnose</w:t>
            </w:r>
          </w:p>
        </w:tc>
        <w:tc>
          <w:tcPr>
            <w:tcW w:type="dxa" w:w="2340"/>
            <w:tcBorders>
              <w:top w:val="none" w:color="FFFFFF" w:sz="0"/>
              <w:left w:val="none" w:color="FFFFFF" w:sz="0"/>
              <w:bottom w:val="none" w:color="FFFFFF" w:sz="0"/>
              <w:right w:val="none" w:color="FFFFFF" w:sz="0"/>
            </w:tcBorders>
            <w:shd w:fill="0E7C7B"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Interpret</w:t>
            </w:r>
          </w:p>
        </w:tc>
        <w:tc>
          <w:tcPr>
            <w:tcW w:type="dxa" w:w="2340"/>
            <w:tcBorders>
              <w:top w:val="none" w:color="FFFFFF" w:sz="0"/>
              <w:left w:val="none" w:color="FFFFFF" w:sz="0"/>
              <w:bottom w:val="none" w:color="FFFFFF" w:sz="0"/>
              <w:right w:val="none" w:color="FFFFFF" w:sz="0"/>
            </w:tcBorders>
            <w:shd w:fill="085041"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Develop</w:t>
            </w:r>
          </w:p>
        </w:tc>
        <w:tc>
          <w:tcPr>
            <w:tcW w:type="dxa" w:w="2340"/>
            <w:tcBorders>
              <w:top w:val="none" w:color="FFFFFF" w:sz="0"/>
              <w:left w:val="none" w:color="FFFFFF" w:sz="0"/>
              <w:bottom w:val="none" w:color="FFFFFF" w:sz="0"/>
              <w:right w:val="none" w:color="FFFFFF" w:sz="0"/>
            </w:tcBorders>
            <w:shd w:fill="0A4A6E"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Measure</w:t>
            </w:r>
          </w:p>
        </w:tc>
      </w:tr>
      <w:tr>
        <w:tc>
          <w:tcPr>
            <w:tcW w:type="dxa" w:w="2340"/>
            <w:tcBorders>
              <w:top w:val="none" w:color="FFFFFF" w:sz="0"/>
              <w:left w:val="none" w:color="FFFFFF" w:sz="0"/>
              <w:bottom w:val="none" w:color="FFFFFF" w:sz="0"/>
              <w:right w:val="none" w:color="FFFFFF" w:sz="0"/>
            </w:tcBorders>
            <w:shd w:fill="1B3A6B" w:val="clear"/>
            <w:tcMar>
              <w:top w:type="dxa" w:w="0"/>
              <w:left w:type="dxa" w:w="100"/>
              <w:bottom w:type="dxa" w:w="160"/>
              <w:right w:type="dxa" w:w="100"/>
            </w:tcMar>
          </w:tcPr>
          <w:p>
            <w:pPr>
              <w:jc w:val="center"/>
            </w:pPr>
            <w:r>
              <w:rPr>
                <w:rFonts w:ascii="Arial" w:cs="Arial" w:eastAsia="Arial" w:hAnsi="Arial"/>
                <w:color w:val="D0D8E4"/>
                <w:sz w:val="17"/>
                <w:szCs w:val="17"/>
              </w:rPr>
              <w:t xml:space="preserve">Structured assessment across behavioral, skills, and organizational dimensions. Objective data, not guesswork.</w:t>
            </w:r>
          </w:p>
        </w:tc>
        <w:tc>
          <w:tcPr>
            <w:tcW w:type="dxa" w:w="2340"/>
            <w:tcBorders>
              <w:top w:val="none" w:color="FFFFFF" w:sz="0"/>
              <w:left w:val="none" w:color="FFFFFF" w:sz="0"/>
              <w:bottom w:val="none" w:color="FFFFFF" w:sz="0"/>
              <w:right w:val="none" w:color="FFFFFF" w:sz="0"/>
            </w:tcBorders>
            <w:shd w:fill="0E7C7B" w:val="clear"/>
            <w:tcMar>
              <w:top w:type="dxa" w:w="0"/>
              <w:left w:type="dxa" w:w="100"/>
              <w:bottom w:type="dxa" w:w="160"/>
              <w:right w:type="dxa" w:w="100"/>
            </w:tcMar>
          </w:tcPr>
          <w:p>
            <w:pPr>
              <w:jc w:val="center"/>
            </w:pPr>
            <w:r>
              <w:rPr>
                <w:rFonts w:ascii="Arial" w:cs="Arial" w:eastAsia="Arial" w:hAnsi="Arial"/>
                <w:color w:val="D0D8E4"/>
                <w:sz w:val="17"/>
                <w:szCs w:val="17"/>
              </w:rPr>
              <w:t xml:space="preserve">Expert debrief sessions translate raw data into actionable insight: capability gaps, risk areas, development priorities.</w:t>
            </w:r>
          </w:p>
        </w:tc>
        <w:tc>
          <w:tcPr>
            <w:tcW w:type="dxa" w:w="2340"/>
            <w:tcBorders>
              <w:top w:val="none" w:color="FFFFFF" w:sz="0"/>
              <w:left w:val="none" w:color="FFFFFF" w:sz="0"/>
              <w:bottom w:val="none" w:color="FFFFFF" w:sz="0"/>
              <w:right w:val="none" w:color="FFFFFF" w:sz="0"/>
            </w:tcBorders>
            <w:shd w:fill="085041" w:val="clear"/>
            <w:tcMar>
              <w:top w:type="dxa" w:w="0"/>
              <w:left w:type="dxa" w:w="100"/>
              <w:bottom w:type="dxa" w:w="160"/>
              <w:right w:type="dxa" w:w="100"/>
            </w:tcMar>
          </w:tcPr>
          <w:p>
            <w:pPr>
              <w:jc w:val="center"/>
            </w:pPr>
            <w:r>
              <w:rPr>
                <w:rFonts w:ascii="Arial" w:cs="Arial" w:eastAsia="Arial" w:hAnsi="Arial"/>
                <w:color w:val="D0D8E4"/>
                <w:sz w:val="17"/>
                <w:szCs w:val="17"/>
              </w:rPr>
              <w:t xml:space="preserve">Findings feed directly into Edstellar's 2,000+ training programs, OD consulting practice, or skills intelligence platform.</w:t>
            </w:r>
          </w:p>
        </w:tc>
        <w:tc>
          <w:tcPr>
            <w:tcW w:type="dxa" w:w="2340"/>
            <w:tcBorders>
              <w:top w:val="none" w:color="FFFFFF" w:sz="0"/>
              <w:left w:val="none" w:color="FFFFFF" w:sz="0"/>
              <w:bottom w:val="none" w:color="FFFFFF" w:sz="0"/>
              <w:right w:val="none" w:color="FFFFFF" w:sz="0"/>
            </w:tcBorders>
            <w:shd w:fill="0A4A6E" w:val="clear"/>
            <w:tcMar>
              <w:top w:type="dxa" w:w="0"/>
              <w:left w:type="dxa" w:w="100"/>
              <w:bottom w:type="dxa" w:w="160"/>
              <w:right w:type="dxa" w:w="100"/>
            </w:tcMar>
          </w:tcPr>
          <w:p>
            <w:pPr>
              <w:jc w:val="center"/>
            </w:pPr>
            <w:r>
              <w:rPr>
                <w:rFonts w:ascii="Arial" w:cs="Arial" w:eastAsia="Arial" w:hAnsi="Arial"/>
                <w:color w:val="D0D8E4"/>
                <w:sz w:val="17"/>
                <w:szCs w:val="17"/>
              </w:rPr>
              <w:t xml:space="preserve">Post-development reassessment tracks capability improvement  --  proving ROI with before-and-after evidence.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BF4FA" w:val="clear"/>
            <w:tcMar>
              <w:top w:type="dxa" w:w="140"/>
              <w:left w:type="dxa" w:w="220"/>
              <w:bottom w:type="dxa" w:w="140"/>
              <w:right w:type="dxa" w:w="220"/>
            </w:tcMar>
          </w:tcPr>
          <w:p>
            <w:r>
              <w:rPr>
                <w:rFonts w:ascii="Arial" w:cs="Arial" w:eastAsia="Arial" w:hAnsi="Arial"/>
                <w:b/>
                <w:bCs/>
                <w:color w:val="1B3A6B"/>
                <w:sz w:val="21"/>
                <w:szCs w:val="21"/>
              </w:rPr>
              <w:t xml:space="preserve">What makes Edstellar different: </w:t>
            </w:r>
            <w:r>
              <w:rPr>
                <w:rFonts w:ascii="Arial" w:cs="Arial" w:eastAsia="Arial" w:hAnsi="Arial"/>
                <w:color w:val="1C1C1C"/>
                <w:sz w:val="21"/>
                <w:szCs w:val="21"/>
              </w:rPr>
              <w:t xml:space="preserve">No other provider in our benchmark set offers a fully closed diagnostic-to-development loop. Competitors (TalentGuard, Aon, IntegrityHR) stop at the assessment report. Edstellar's model connects every finding to a training program, OD engagement, or skills intelligence dashboard  --  with post-development reassessment proving ROI.</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9  --  Our Process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OUR PROCESS</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How Edstellar Delivers Talent Diagnostics</w:t>
      </w:r>
    </w:p>
    <w:p>
      <w:pPr>
        <w:spacing w:before="80" w:after="80" w:line="276"/>
      </w:pPr>
      <w:r>
        <w:rPr>
          <w:rFonts w:ascii="Arial" w:cs="Arial" w:eastAsia="Arial" w:hAnsi="Arial"/>
          <w:color w:val="1C1C1C"/>
          <w:sz w:val="22"/>
          <w:szCs w:val="22"/>
        </w:rPr>
        <w:t xml:space="preserve">Every engagement follows a rigorous methodology, scoped to your organizational context  --  not pulled from a generic template. Typical delivery: 2--6 weeks, low disruption, managed scheduling and communications.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pPr>
              <w:jc w:val="center"/>
            </w:pPr>
            <w:r>
              <w:rPr>
                <w:rFonts w:ascii="Arial" w:cs="Arial" w:eastAsia="Arial" w:hAnsi="Arial"/>
                <w:b/>
                <w:bCs/>
                <w:color w:val="E8A020"/>
                <w:sz w:val="28"/>
                <w:szCs w:val="28"/>
              </w:rPr>
              <w:t xml:space="preserve">01</w:t>
            </w:r>
          </w:p>
        </w:tc>
        <w:tc>
          <w:tcPr>
            <w:tcW w:type="dxa" w:w="156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pPr>
              <w:jc w:val="center"/>
            </w:pPr>
            <w:r>
              <w:rPr>
                <w:rFonts w:ascii="Arial" w:cs="Arial" w:eastAsia="Arial" w:hAnsi="Arial"/>
                <w:b/>
                <w:bCs/>
                <w:color w:val="E8A020"/>
                <w:sz w:val="28"/>
                <w:szCs w:val="28"/>
              </w:rPr>
              <w:t xml:space="preserve">02</w:t>
            </w:r>
          </w:p>
        </w:tc>
        <w:tc>
          <w:tcPr>
            <w:tcW w:type="dxa" w:w="156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pPr>
              <w:jc w:val="center"/>
            </w:pPr>
            <w:r>
              <w:rPr>
                <w:rFonts w:ascii="Arial" w:cs="Arial" w:eastAsia="Arial" w:hAnsi="Arial"/>
                <w:b/>
                <w:bCs/>
                <w:color w:val="E8A020"/>
                <w:sz w:val="28"/>
                <w:szCs w:val="28"/>
              </w:rPr>
              <w:t xml:space="preserve">03</w:t>
            </w:r>
          </w:p>
        </w:tc>
        <w:tc>
          <w:tcPr>
            <w:tcW w:type="dxa" w:w="156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pPr>
              <w:jc w:val="center"/>
            </w:pPr>
            <w:r>
              <w:rPr>
                <w:rFonts w:ascii="Arial" w:cs="Arial" w:eastAsia="Arial" w:hAnsi="Arial"/>
                <w:b/>
                <w:bCs/>
                <w:color w:val="E8A020"/>
                <w:sz w:val="28"/>
                <w:szCs w:val="28"/>
              </w:rPr>
              <w:t xml:space="preserve">04</w:t>
            </w:r>
          </w:p>
        </w:tc>
        <w:tc>
          <w:tcPr>
            <w:tcW w:type="dxa" w:w="156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pPr>
              <w:jc w:val="center"/>
            </w:pPr>
            <w:r>
              <w:rPr>
                <w:rFonts w:ascii="Arial" w:cs="Arial" w:eastAsia="Arial" w:hAnsi="Arial"/>
                <w:b/>
                <w:bCs/>
                <w:color w:val="E8A020"/>
                <w:sz w:val="28"/>
                <w:szCs w:val="28"/>
              </w:rPr>
              <w:t xml:space="preserve">05</w:t>
            </w:r>
          </w:p>
        </w:tc>
        <w:tc>
          <w:tcPr>
            <w:tcW w:type="dxa" w:w="1560"/>
            <w:tcBorders>
              <w:top w:val="single" w:color="1B3A6B" w:sz="1"/>
              <w:left w:val="single" w:color="1B3A6B" w:sz="1"/>
              <w:bottom w:val="single" w:color="1B3A6B" w:sz="1"/>
              <w:right w:val="single" w:color="1B3A6B" w:sz="1"/>
            </w:tcBorders>
            <w:shd w:fill="1B3A6B" w:val="clear"/>
            <w:tcMar>
              <w:top w:type="dxa" w:w="80"/>
              <w:left w:type="dxa" w:w="80"/>
              <w:bottom w:type="dxa" w:w="80"/>
              <w:right w:type="dxa" w:w="80"/>
            </w:tcMar>
          </w:tcPr>
          <w:p>
            <w:pPr>
              <w:jc w:val="center"/>
            </w:pPr>
            <w:r>
              <w:rPr>
                <w:rFonts w:ascii="Arial" w:cs="Arial" w:eastAsia="Arial" w:hAnsi="Arial"/>
                <w:b/>
                <w:bCs/>
                <w:color w:val="E8A020"/>
                <w:sz w:val="28"/>
                <w:szCs w:val="28"/>
              </w:rPr>
              <w:t xml:space="preserve">06</w:t>
            </w:r>
          </w:p>
        </w:tc>
      </w:tr>
      <w:tr>
        <w:tc>
          <w:tcPr>
            <w:tcW w:type="dxa" w:w="1560"/>
            <w:tcBorders>
              <w:top w:val="single" w:color="0E7C7B" w:sz="1"/>
              <w:left w:val="single" w:color="0E7C7B" w:sz="1"/>
              <w:bottom w:val="single" w:color="0E7C7B" w:sz="1"/>
              <w:right w:val="single" w:color="0E7C7B" w:sz="1"/>
            </w:tcBorders>
            <w:shd w:fill="0E7C7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Scoping &amp; Role Benchmarking</w:t>
            </w:r>
          </w:p>
        </w:tc>
        <w:tc>
          <w:tcPr>
            <w:tcW w:type="dxa" w:w="1560"/>
            <w:tcBorders>
              <w:top w:val="single" w:color="0E7C7B" w:sz="1"/>
              <w:left w:val="single" w:color="0E7C7B" w:sz="1"/>
              <w:bottom w:val="single" w:color="0E7C7B" w:sz="1"/>
              <w:right w:val="single" w:color="0E7C7B" w:sz="1"/>
            </w:tcBorders>
            <w:shd w:fill="0E7C7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Instrument Selection &amp; Design</w:t>
            </w:r>
          </w:p>
        </w:tc>
        <w:tc>
          <w:tcPr>
            <w:tcW w:type="dxa" w:w="1560"/>
            <w:tcBorders>
              <w:top w:val="single" w:color="0E7C7B" w:sz="1"/>
              <w:left w:val="single" w:color="0E7C7B" w:sz="1"/>
              <w:bottom w:val="single" w:color="0E7C7B" w:sz="1"/>
              <w:right w:val="single" w:color="0E7C7B" w:sz="1"/>
            </w:tcBorders>
            <w:shd w:fill="0E7C7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Administration &amp; Data Collection</w:t>
            </w:r>
          </w:p>
        </w:tc>
        <w:tc>
          <w:tcPr>
            <w:tcW w:type="dxa" w:w="1560"/>
            <w:tcBorders>
              <w:top w:val="single" w:color="0E7C7B" w:sz="1"/>
              <w:left w:val="single" w:color="0E7C7B" w:sz="1"/>
              <w:bottom w:val="single" w:color="0E7C7B" w:sz="1"/>
              <w:right w:val="single" w:color="0E7C7B" w:sz="1"/>
            </w:tcBorders>
            <w:shd w:fill="0E7C7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Expert Analysis &amp; Debrief</w:t>
            </w:r>
          </w:p>
        </w:tc>
        <w:tc>
          <w:tcPr>
            <w:tcW w:type="dxa" w:w="1560"/>
            <w:tcBorders>
              <w:top w:val="single" w:color="0E7C7B" w:sz="1"/>
              <w:left w:val="single" w:color="0E7C7B" w:sz="1"/>
              <w:bottom w:val="single" w:color="0E7C7B" w:sz="1"/>
              <w:right w:val="single" w:color="0E7C7B" w:sz="1"/>
            </w:tcBorders>
            <w:shd w:fill="0E7C7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Development Pathway Activation</w:t>
            </w:r>
          </w:p>
        </w:tc>
        <w:tc>
          <w:tcPr>
            <w:tcW w:type="dxa" w:w="1560"/>
            <w:tcBorders>
              <w:top w:val="single" w:color="0E7C7B" w:sz="1"/>
              <w:left w:val="single" w:color="0E7C7B" w:sz="1"/>
              <w:bottom w:val="single" w:color="0E7C7B" w:sz="1"/>
              <w:right w:val="single" w:color="0E7C7B" w:sz="1"/>
            </w:tcBorders>
            <w:shd w:fill="0E7C7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Reassessment &amp; Impact Tracking</w:t>
            </w:r>
          </w:p>
        </w:tc>
      </w:tr>
      <w:tr>
        <w:tc>
          <w:tcPr>
            <w:tcW w:type="dxa" w:w="1560"/>
            <w:tcBorders>
              <w:top w:val="single" w:color="C8D8E8" w:sz="1"/>
              <w:left w:val="single" w:color="C8D8E8" w:sz="1"/>
              <w:bottom w:val="single" w:color="C8D8E8" w:sz="1"/>
              <w:right w:val="single" w:color="C8D8E8" w:sz="1"/>
            </w:tcBorders>
            <w:shd w:fill="F5F7FA" w:val="clear"/>
            <w:tcMar>
              <w:top w:type="dxa" w:w="60"/>
              <w:left w:type="dxa" w:w="80"/>
              <w:bottom w:type="dxa" w:w="60"/>
              <w:right w:type="dxa" w:w="80"/>
            </w:tcMar>
          </w:tcPr>
          <w:p>
            <w:pPr>
              <w:jc w:val="center"/>
            </w:pPr>
            <w:r>
              <w:rPr>
                <w:rFonts w:ascii="Arial" w:cs="Arial" w:eastAsia="Arial" w:hAnsi="Arial"/>
                <w:i/>
                <w:iCs/>
                <w:color w:val="5A5A5A"/>
                <w:sz w:val="16"/>
                <w:szCs w:val="16"/>
              </w:rPr>
              <w:t xml:space="preserve">Week 1</w:t>
            </w:r>
          </w:p>
        </w:tc>
        <w:tc>
          <w:tcPr>
            <w:tcW w:type="dxa" w:w="1560"/>
            <w:tcBorders>
              <w:top w:val="single" w:color="C8D8E8" w:sz="1"/>
              <w:left w:val="single" w:color="C8D8E8" w:sz="1"/>
              <w:bottom w:val="single" w:color="C8D8E8" w:sz="1"/>
              <w:right w:val="single" w:color="C8D8E8" w:sz="1"/>
            </w:tcBorders>
            <w:shd w:fill="F5F7FA" w:val="clear"/>
            <w:tcMar>
              <w:top w:type="dxa" w:w="60"/>
              <w:left w:type="dxa" w:w="80"/>
              <w:bottom w:type="dxa" w:w="60"/>
              <w:right w:type="dxa" w:w="80"/>
            </w:tcMar>
          </w:tcPr>
          <w:p>
            <w:pPr>
              <w:jc w:val="center"/>
            </w:pPr>
            <w:r>
              <w:rPr>
                <w:rFonts w:ascii="Arial" w:cs="Arial" w:eastAsia="Arial" w:hAnsi="Arial"/>
                <w:i/>
                <w:iCs/>
                <w:color w:val="5A5A5A"/>
                <w:sz w:val="16"/>
                <w:szCs w:val="16"/>
              </w:rPr>
              <w:t xml:space="preserve">Week 1--2</w:t>
            </w:r>
          </w:p>
        </w:tc>
        <w:tc>
          <w:tcPr>
            <w:tcW w:type="dxa" w:w="1560"/>
            <w:tcBorders>
              <w:top w:val="single" w:color="C8D8E8" w:sz="1"/>
              <w:left w:val="single" w:color="C8D8E8" w:sz="1"/>
              <w:bottom w:val="single" w:color="C8D8E8" w:sz="1"/>
              <w:right w:val="single" w:color="C8D8E8" w:sz="1"/>
            </w:tcBorders>
            <w:shd w:fill="F5F7FA" w:val="clear"/>
            <w:tcMar>
              <w:top w:type="dxa" w:w="60"/>
              <w:left w:type="dxa" w:w="80"/>
              <w:bottom w:type="dxa" w:w="60"/>
              <w:right w:type="dxa" w:w="80"/>
            </w:tcMar>
          </w:tcPr>
          <w:p>
            <w:pPr>
              <w:jc w:val="center"/>
            </w:pPr>
            <w:r>
              <w:rPr>
                <w:rFonts w:ascii="Arial" w:cs="Arial" w:eastAsia="Arial" w:hAnsi="Arial"/>
                <w:i/>
                <w:iCs/>
                <w:color w:val="5A5A5A"/>
                <w:sz w:val="16"/>
                <w:szCs w:val="16"/>
              </w:rPr>
              <w:t xml:space="preserve">Week 2--4</w:t>
            </w:r>
          </w:p>
        </w:tc>
        <w:tc>
          <w:tcPr>
            <w:tcW w:type="dxa" w:w="1560"/>
            <w:tcBorders>
              <w:top w:val="single" w:color="C8D8E8" w:sz="1"/>
              <w:left w:val="single" w:color="C8D8E8" w:sz="1"/>
              <w:bottom w:val="single" w:color="C8D8E8" w:sz="1"/>
              <w:right w:val="single" w:color="C8D8E8" w:sz="1"/>
            </w:tcBorders>
            <w:shd w:fill="F5F7FA" w:val="clear"/>
            <w:tcMar>
              <w:top w:type="dxa" w:w="60"/>
              <w:left w:type="dxa" w:w="80"/>
              <w:bottom w:type="dxa" w:w="60"/>
              <w:right w:type="dxa" w:w="80"/>
            </w:tcMar>
          </w:tcPr>
          <w:p>
            <w:pPr>
              <w:jc w:val="center"/>
            </w:pPr>
            <w:r>
              <w:rPr>
                <w:rFonts w:ascii="Arial" w:cs="Arial" w:eastAsia="Arial" w:hAnsi="Arial"/>
                <w:i/>
                <w:iCs/>
                <w:color w:val="5A5A5A"/>
                <w:sz w:val="16"/>
                <w:szCs w:val="16"/>
              </w:rPr>
              <w:t xml:space="preserve">Week 4--5</w:t>
            </w:r>
          </w:p>
        </w:tc>
        <w:tc>
          <w:tcPr>
            <w:tcW w:type="dxa" w:w="1560"/>
            <w:tcBorders>
              <w:top w:val="single" w:color="C8D8E8" w:sz="1"/>
              <w:left w:val="single" w:color="C8D8E8" w:sz="1"/>
              <w:bottom w:val="single" w:color="C8D8E8" w:sz="1"/>
              <w:right w:val="single" w:color="C8D8E8" w:sz="1"/>
            </w:tcBorders>
            <w:shd w:fill="F5F7FA" w:val="clear"/>
            <w:tcMar>
              <w:top w:type="dxa" w:w="60"/>
              <w:left w:type="dxa" w:w="80"/>
              <w:bottom w:type="dxa" w:w="60"/>
              <w:right w:type="dxa" w:w="80"/>
            </w:tcMar>
          </w:tcPr>
          <w:p>
            <w:pPr>
              <w:jc w:val="center"/>
            </w:pPr>
            <w:r>
              <w:rPr>
                <w:rFonts w:ascii="Arial" w:cs="Arial" w:eastAsia="Arial" w:hAnsi="Arial"/>
                <w:i/>
                <w:iCs/>
                <w:color w:val="5A5A5A"/>
                <w:sz w:val="16"/>
                <w:szCs w:val="16"/>
              </w:rPr>
              <w:t xml:space="preserve">Week 5--6</w:t>
            </w:r>
          </w:p>
        </w:tc>
        <w:tc>
          <w:tcPr>
            <w:tcW w:type="dxa" w:w="1560"/>
            <w:tcBorders>
              <w:top w:val="single" w:color="C8D8E8" w:sz="1"/>
              <w:left w:val="single" w:color="C8D8E8" w:sz="1"/>
              <w:bottom w:val="single" w:color="C8D8E8" w:sz="1"/>
              <w:right w:val="single" w:color="C8D8E8" w:sz="1"/>
            </w:tcBorders>
            <w:shd w:fill="F5F7FA" w:val="clear"/>
            <w:tcMar>
              <w:top w:type="dxa" w:w="60"/>
              <w:left w:type="dxa" w:w="80"/>
              <w:bottom w:type="dxa" w:w="60"/>
              <w:right w:type="dxa" w:w="80"/>
            </w:tcMar>
          </w:tcPr>
          <w:p>
            <w:pPr>
              <w:jc w:val="center"/>
            </w:pPr>
            <w:r>
              <w:rPr>
                <w:rFonts w:ascii="Arial" w:cs="Arial" w:eastAsia="Arial" w:hAnsi="Arial"/>
                <w:i/>
                <w:iCs/>
                <w:color w:val="5A5A5A"/>
                <w:sz w:val="16"/>
                <w:szCs w:val="16"/>
              </w:rPr>
              <w:t xml:space="preserve">Ongoing</w:t>
            </w:r>
          </w:p>
        </w:tc>
      </w:tr>
      <w:tr>
        <w:tc>
          <w:tcPr>
            <w:tcW w:type="dxa" w:w="1560"/>
            <w:tcBorders>
              <w:top w:val="single" w:color="C8D8E8" w:sz="1"/>
              <w:left w:val="single" w:color="C8D8E8" w:sz="1"/>
              <w:bottom w:val="single" w:color="C8D8E8" w:sz="1"/>
              <w:right w:val="single" w:color="C8D8E8" w:sz="1"/>
            </w:tcBorders>
            <w:shd w:fill="FFFFFF" w:val="clear"/>
            <w:tcMar>
              <w:top w:type="dxa" w:w="100"/>
              <w:left w:type="dxa" w:w="100"/>
              <w:bottom w:type="dxa" w:w="100"/>
              <w:right w:type="dxa" w:w="100"/>
            </w:tcMar>
          </w:tcPr>
          <w:p>
            <w:pPr>
              <w:jc w:val="center"/>
            </w:pPr>
            <w:r>
              <w:rPr>
                <w:rFonts w:ascii="Arial" w:cs="Arial" w:eastAsia="Arial" w:hAnsi="Arial"/>
                <w:color w:val="1C1C1C"/>
                <w:sz w:val="18"/>
                <w:szCs w:val="18"/>
              </w:rPr>
              <w:t xml:space="preserve">Define role profiles, competency standards, and assessment objectives.</w:t>
            </w:r>
          </w:p>
        </w:tc>
        <w:tc>
          <w:tcPr>
            <w:tcW w:type="dxa" w:w="1560"/>
            <w:tcBorders>
              <w:top w:val="single" w:color="C8D8E8" w:sz="1"/>
              <w:left w:val="single" w:color="C8D8E8" w:sz="1"/>
              <w:bottom w:val="single" w:color="C8D8E8" w:sz="1"/>
              <w:right w:val="single" w:color="C8D8E8" w:sz="1"/>
            </w:tcBorders>
            <w:shd w:fill="FFFFFF" w:val="clear"/>
            <w:tcMar>
              <w:top w:type="dxa" w:w="100"/>
              <w:left w:type="dxa" w:w="100"/>
              <w:bottom w:type="dxa" w:w="100"/>
              <w:right w:type="dxa" w:w="100"/>
            </w:tcMar>
          </w:tcPr>
          <w:p>
            <w:pPr>
              <w:jc w:val="center"/>
            </w:pPr>
            <w:r>
              <w:rPr>
                <w:rFonts w:ascii="Arial" w:cs="Arial" w:eastAsia="Arial" w:hAnsi="Arial"/>
                <w:color w:val="1C1C1C"/>
                <w:sz w:val="18"/>
                <w:szCs w:val="18"/>
              </w:rPr>
              <w:t xml:space="preserve">Select validated tools and configure for your organisational context.</w:t>
            </w:r>
          </w:p>
        </w:tc>
        <w:tc>
          <w:tcPr>
            <w:tcW w:type="dxa" w:w="1560"/>
            <w:tcBorders>
              <w:top w:val="single" w:color="C8D8E8" w:sz="1"/>
              <w:left w:val="single" w:color="C8D8E8" w:sz="1"/>
              <w:bottom w:val="single" w:color="C8D8E8" w:sz="1"/>
              <w:right w:val="single" w:color="C8D8E8" w:sz="1"/>
            </w:tcBorders>
            <w:shd w:fill="FFFFFF" w:val="clear"/>
            <w:tcMar>
              <w:top w:type="dxa" w:w="100"/>
              <w:left w:type="dxa" w:w="100"/>
              <w:bottom w:type="dxa" w:w="100"/>
              <w:right w:type="dxa" w:w="100"/>
            </w:tcMar>
          </w:tcPr>
          <w:p>
            <w:pPr>
              <w:jc w:val="center"/>
            </w:pPr>
            <w:r>
              <w:rPr>
                <w:rFonts w:ascii="Arial" w:cs="Arial" w:eastAsia="Arial" w:hAnsi="Arial"/>
                <w:color w:val="1C1C1C"/>
                <w:sz w:val="18"/>
                <w:szCs w:val="18"/>
              </w:rPr>
              <w:t xml:space="preserve">Deliver assessments across populations  --  virtual or in-person.</w:t>
            </w:r>
          </w:p>
        </w:tc>
        <w:tc>
          <w:tcPr>
            <w:tcW w:type="dxa" w:w="1560"/>
            <w:tcBorders>
              <w:top w:val="single" w:color="C8D8E8" w:sz="1"/>
              <w:left w:val="single" w:color="C8D8E8" w:sz="1"/>
              <w:bottom w:val="single" w:color="C8D8E8" w:sz="1"/>
              <w:right w:val="single" w:color="C8D8E8" w:sz="1"/>
            </w:tcBorders>
            <w:shd w:fill="FFFFFF" w:val="clear"/>
            <w:tcMar>
              <w:top w:type="dxa" w:w="100"/>
              <w:left w:type="dxa" w:w="100"/>
              <w:bottom w:type="dxa" w:w="100"/>
              <w:right w:type="dxa" w:w="100"/>
            </w:tcMar>
          </w:tcPr>
          <w:p>
            <w:pPr>
              <w:jc w:val="center"/>
            </w:pPr>
            <w:r>
              <w:rPr>
                <w:rFonts w:ascii="Arial" w:cs="Arial" w:eastAsia="Arial" w:hAnsi="Arial"/>
                <w:color w:val="1C1C1C"/>
                <w:sz w:val="18"/>
                <w:szCs w:val="18"/>
              </w:rPr>
              <w:t xml:space="preserve">Certified practitioners analyse results and deliver stakeholder debriefs.</w:t>
            </w:r>
          </w:p>
        </w:tc>
        <w:tc>
          <w:tcPr>
            <w:tcW w:type="dxa" w:w="1560"/>
            <w:tcBorders>
              <w:top w:val="single" w:color="C8D8E8" w:sz="1"/>
              <w:left w:val="single" w:color="C8D8E8" w:sz="1"/>
              <w:bottom w:val="single" w:color="C8D8E8" w:sz="1"/>
              <w:right w:val="single" w:color="C8D8E8" w:sz="1"/>
            </w:tcBorders>
            <w:shd w:fill="FFFFFF" w:val="clear"/>
            <w:tcMar>
              <w:top w:type="dxa" w:w="100"/>
              <w:left w:type="dxa" w:w="100"/>
              <w:bottom w:type="dxa" w:w="100"/>
              <w:right w:type="dxa" w:w="100"/>
            </w:tcMar>
          </w:tcPr>
          <w:p>
            <w:pPr>
              <w:jc w:val="center"/>
            </w:pPr>
            <w:r>
              <w:rPr>
                <w:rFonts w:ascii="Arial" w:cs="Arial" w:eastAsia="Arial" w:hAnsi="Arial"/>
                <w:color w:val="1C1C1C"/>
                <w:sz w:val="18"/>
                <w:szCs w:val="18"/>
              </w:rPr>
              <w:t xml:space="preserve">Findings mapped to training, OD consulting, or skills intelligence.</w:t>
            </w:r>
          </w:p>
        </w:tc>
        <w:tc>
          <w:tcPr>
            <w:tcW w:type="dxa" w:w="1560"/>
            <w:tcBorders>
              <w:top w:val="single" w:color="C8D8E8" w:sz="1"/>
              <w:left w:val="single" w:color="C8D8E8" w:sz="1"/>
              <w:bottom w:val="single" w:color="C8D8E8" w:sz="1"/>
              <w:right w:val="single" w:color="C8D8E8" w:sz="1"/>
            </w:tcBorders>
            <w:shd w:fill="FFFFFF" w:val="clear"/>
            <w:tcMar>
              <w:top w:type="dxa" w:w="100"/>
              <w:left w:type="dxa" w:w="100"/>
              <w:bottom w:type="dxa" w:w="100"/>
              <w:right w:type="dxa" w:w="100"/>
            </w:tcMar>
          </w:tcPr>
          <w:p>
            <w:pPr>
              <w:jc w:val="center"/>
            </w:pPr>
            <w:r>
              <w:rPr>
                <w:rFonts w:ascii="Arial" w:cs="Arial" w:eastAsia="Arial" w:hAnsi="Arial"/>
                <w:color w:val="1C1C1C"/>
                <w:sz w:val="18"/>
                <w:szCs w:val="18"/>
              </w:rPr>
              <w:t xml:space="preserve">Post-development reassessment proves capability improvement and ROI.</w:t>
            </w:r>
          </w:p>
        </w:tc>
      </w:tr>
    </w:tbl>
    <w:p>
      <w:r>
        <w:rPr>
          <w:rFonts w:ascii="Arial" w:cs="Arial" w:eastAsia="Arial" w:hAnsi="Arial"/>
        </w:rPr>
        <w:t xml:space="preserve"/>
      </w:r>
    </w:p>
    <w:p>
      <w:pPr>
        <w:spacing w:before="60" w:after="60"/>
      </w:pPr>
      <w:r>
        <w:rPr>
          <w:rFonts w:ascii="Arial" w:cs="Arial" w:eastAsia="Arial" w:hAnsi="Arial"/>
          <w:b/>
          <w:bCs/>
          <w:color w:val="1B3A6B"/>
          <w:sz w:val="21"/>
          <w:szCs w:val="21"/>
        </w:rPr>
        <w:t xml:space="preserve">Typical timeline &amp; effort: </w:t>
      </w:r>
      <w:r>
        <w:rPr>
          <w:rFonts w:ascii="Arial" w:cs="Arial" w:eastAsia="Arial" w:hAnsi="Arial"/>
          <w:i/>
          <w:iCs/>
          <w:color w:val="5A5A5A"/>
          <w:sz w:val="21"/>
          <w:szCs w:val="21"/>
        </w:rPr>
        <w:t xml:space="preserve">2--6 weeks  .  low disruption  .  managed scheduling + comms</w:t>
      </w:r>
    </w:p>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10  --  Why Edstellar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FOR DECISION MAKERS</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Why Edstellar for Corporate Talent Assessments</w:t>
      </w:r>
    </w:p>
    <w:p>
      <w:pPr>
        <w:spacing w:before="80" w:after="80" w:line="276"/>
      </w:pPr>
      <w:r>
        <w:rPr>
          <w:rFonts w:ascii="Arial" w:cs="Arial" w:eastAsia="Arial" w:hAnsi="Arial"/>
          <w:color w:val="1C1C1C"/>
          <w:sz w:val="22"/>
          <w:szCs w:val="22"/>
        </w:rPr>
        <w:t xml:space="preserve">Boards expect data. CFOs expect ROI. L&amp;D needs clarity on where capability gaps sit. Edstellar's diagnostics solve all three through one integrated assessment engagement.</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FROM EDSTELLAR (Proprietary Strengths)</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FROM COMPETITOR BENCHMARKING (Added)</w:t>
            </w:r>
          </w:p>
        </w:tc>
      </w:tr>
      <w:tr>
        <w:tc>
          <w:tcPr>
            <w:tcW w:type="dxa" w:w="468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Closed-loop Diagnose-to-Develop model  --  findings always connect to action</w:t>
            </w:r>
          </w:p>
        </w:tc>
        <w:tc>
          <w:tcPr>
            <w:tcW w:type="dxa" w:w="468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Science-backed assessments  --  every instrument is psychometrically validated</w:t>
            </w:r>
          </w:p>
        </w:tc>
      </w:tr>
      <w:tr>
        <w:tc>
          <w:tcPr>
            <w:tcW w:type="dxa" w:w="468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Delivery timeline guarantees  --  2--6 weeks, managed and low-disruption</w:t>
            </w:r>
          </w:p>
        </w:tc>
        <w:tc>
          <w:tcPr>
            <w:tcW w:type="dxa" w:w="468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Culturally flexible delivery  --  adapted for APAC, Middle East, Europe, Americas</w:t>
            </w:r>
          </w:p>
        </w:tc>
      </w:tr>
      <w:tr>
        <w:tc>
          <w:tcPr>
            <w:tcW w:type="dxa" w:w="468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Before-and-after ROI measurement  --  post-development reassessment included</w:t>
            </w:r>
          </w:p>
        </w:tc>
        <w:tc>
          <w:tcPr>
            <w:tcW w:type="dxa" w:w="468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Manager Verification layer  --  proficiency ratings confirmed by line managers</w:t>
            </w:r>
          </w:p>
        </w:tc>
      </w:tr>
      <w:tr>
        <w:tc>
          <w:tcPr>
            <w:tcW w:type="dxa" w:w="468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5,000+ certified expert assessors across 100+ global locations</w:t>
            </w:r>
          </w:p>
        </w:tc>
        <w:tc>
          <w:tcPr>
            <w:tcW w:type="dxa" w:w="468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ATS &amp; HRIS integration  --  compatible with leading applicant tracking systems</w:t>
            </w:r>
          </w:p>
        </w:tc>
      </w:tr>
      <w:tr>
        <w:tc>
          <w:tcPr>
            <w:tcW w:type="dxa" w:w="468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Validated outcome data  --  +42% hiring accuracy, 3.2x training ROI achieved</w:t>
            </w:r>
          </w:p>
        </w:tc>
        <w:tc>
          <w:tcPr>
            <w:tcW w:type="dxa" w:w="468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Accredited methodology  --  instruments sourced from BPS-recognised publishers</w:t>
            </w:r>
          </w:p>
        </w:tc>
      </w:tr>
      <w:tr>
        <w:tc>
          <w:tcPr>
            <w:tcW w:type="dxa" w:w="468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Integrated service ecosystem  --  connects to 2,000+ training programs and OD consulting</w:t>
            </w:r>
          </w:p>
        </w:tc>
        <w:tc>
          <w:tcPr>
            <w:tcW w:type="dxa" w:w="468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Full audit trail  --  every assessment, rating, and debrief documented and traceable</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11  --  Industries &amp; Use Cases  * NEW</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Assessment Solutions Across Industries</w:t>
      </w:r>
    </w:p>
    <w:p>
      <w:pPr>
        <w:spacing w:before="80" w:after="80" w:line="276"/>
      </w:pPr>
      <w:r>
        <w:rPr>
          <w:rFonts w:ascii="Arial" w:cs="Arial" w:eastAsia="Arial" w:hAnsi="Arial"/>
          <w:color w:val="1C1C1C"/>
          <w:sz w:val="22"/>
          <w:szCs w:val="22"/>
        </w:rPr>
        <w:t xml:space="preserve">Edstellar administers talent assessments across sectors  --  adapting instruments, language, and delivery methodology for each industry's unique workforce context. Our certified assessors are deployed across APAC, Middle East, Europe, and the Americas.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SECTOR</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31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
            </w:r>
          </w:p>
        </w:tc>
      </w:tr>
      <w:tr>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Manufacturing &amp; Industrial</w:t>
            </w:r>
          </w:p>
        </w:tc>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Engineering &amp; Technology</w:t>
            </w:r>
          </w:p>
        </w:tc>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Financial Services &amp; Banking</w:t>
            </w:r>
          </w:p>
        </w:tc>
      </w:tr>
      <w:tr>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Volume hiring assessments, safety and reliability profiling, operator and supervisor readiness.</w:t>
            </w:r>
          </w:p>
        </w:tc>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Technical skill validation, coding assessments, digital readiness for transformation roles.</w:t>
            </w:r>
          </w:p>
        </w:tc>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Risk and compliance profiling, leadership succession for regulated environments.</w:t>
            </w:r>
          </w:p>
        </w:tc>
      </w:tr>
      <w:tr>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Healthcare &amp; Life Sciences</w:t>
            </w:r>
          </w:p>
        </w:tc>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Consumer &amp; Retail</w:t>
            </w:r>
          </w:p>
        </w:tc>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Aviation &amp; Maritime  * NEW</w:t>
            </w:r>
          </w:p>
        </w:tc>
      </w:tr>
      <w:tr>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Clinical competency validation, leadership under pressure, multi-site team alignment.</w:t>
            </w:r>
          </w:p>
        </w:tc>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Volume hiring, customer service profiling, high-potential identification for head office.</w:t>
            </w:r>
          </w:p>
        </w:tc>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Flight crew, cabin crew, chief engineer, and captain competency assessments. IMC-aligned.</w:t>
            </w:r>
          </w:p>
        </w:tc>
      </w:tr>
      <w:tr>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Professional Services</w:t>
            </w:r>
          </w:p>
        </w:tc>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Early Careers &amp; Graduates</w:t>
            </w:r>
          </w:p>
        </w:tc>
        <w:tc>
          <w:tcPr>
            <w:tcW w:type="dxa" w:w="3120"/>
            <w:tcBorders>
              <w:top w:val="single" w:color="C8D8E8" w:sz="1"/>
              <w:left w:val="single" w:color="C8D8E8" w:sz="1"/>
              <w:bottom w:val="single" w:color="C8D8E8" w:sz="1"/>
              <w:right w:val="single" w:color="C8D8E8" w:sz="1"/>
            </w:tcBorders>
            <w:shd w:fill="FFFFFF" w:val="clear"/>
            <w:tcMar>
              <w:top w:type="dxa" w:w="90"/>
              <w:left w:type="dxa" w:w="150"/>
              <w:bottom w:type="dxa" w:w="90"/>
              <w:right w:type="dxa" w:w="150"/>
            </w:tcMar>
          </w:tcPr>
          <w:p>
            <w:r>
              <w:rPr>
                <w:rFonts w:ascii="Arial" w:cs="Arial" w:eastAsia="Arial" w:hAnsi="Arial"/>
                <w:color w:val="1C1C1C"/>
                <w:sz w:val="20"/>
                <w:szCs w:val="20"/>
              </w:rPr>
              <w:t xml:space="preserve">Public Sector &amp; Government</w:t>
            </w:r>
          </w:p>
        </w:tc>
      </w:tr>
      <w:tr>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Partner and director succession, billable-hour performance profiling, culture diagnostics.</w:t>
            </w:r>
          </w:p>
        </w:tc>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Entry-level aptitude, learning agility, graduate potential programmes.</w:t>
            </w:r>
          </w:p>
        </w:tc>
        <w:tc>
          <w:tcPr>
            <w:tcW w:type="dxa" w:w="3120"/>
            <w:tcBorders>
              <w:top w:val="single" w:color="C8D8E8" w:sz="1"/>
              <w:left w:val="single" w:color="C8D8E8" w:sz="1"/>
              <w:bottom w:val="single" w:color="C8D8E8" w:sz="1"/>
              <w:right w:val="single" w:color="C8D8E8" w:sz="1"/>
            </w:tcBorders>
            <w:shd w:fill="F5F7FA" w:val="clear"/>
            <w:tcMar>
              <w:top w:type="dxa" w:w="90"/>
              <w:left w:type="dxa" w:w="150"/>
              <w:bottom w:type="dxa" w:w="90"/>
              <w:right w:type="dxa" w:w="150"/>
            </w:tcMar>
          </w:tcPr>
          <w:p>
            <w:r>
              <w:rPr>
                <w:rFonts w:ascii="Arial" w:cs="Arial" w:eastAsia="Arial" w:hAnsi="Arial"/>
                <w:color w:val="1C1C1C"/>
                <w:sz w:val="20"/>
                <w:szCs w:val="20"/>
              </w:rPr>
              <w:t xml:space="preserve">Civil service competency frameworks, leadership potential, policy capability assessments.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
              <w:left w:val="single" w:color="3C3489" w:sz="1"/>
              <w:bottom w:val="single" w:color="3C3489" w:sz="1"/>
              <w:right w:val="single" w:color="3C3489" w:sz="1"/>
            </w:tcBorders>
            <w:shd w:fill="E8E4FB" w:val="clear"/>
            <w:tcMar>
              <w:top w:type="dxa" w:w="140"/>
              <w:left w:type="dxa" w:w="220"/>
              <w:bottom w:type="dxa" w:w="140"/>
              <w:right w:type="dxa" w:w="220"/>
            </w:tcMar>
          </w:tcPr>
          <w:p>
            <w:r>
              <w:rPr>
                <w:rFonts w:ascii="Arial" w:cs="Arial" w:eastAsia="Arial" w:hAnsi="Arial"/>
                <w:color w:val="1C1C1C"/>
                <w:sz w:val="20"/>
                <w:szCs w:val="20"/>
              </w:rPr>
              <w:t xml:space="preserve">* NEW  --  Aviation &amp; Maritime sector assessments added based on Aon's specialist hiring page coverage. These sectors represent underserved long-tail search demand. Edstellar should confirm capability before publishing this section.</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12  --  Diagnostic Impact: Before vs After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DIAGNOSTIC IMPACT  --  BEFORE VS AFTER</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Built for CHROs Who Demand Evidence</w:t>
      </w:r>
    </w:p>
    <w:p>
      <w:pPr>
        <w:spacing w:before="80" w:after="80" w:line="276"/>
      </w:pPr>
      <w:r>
        <w:rPr>
          <w:rFonts w:ascii="Arial" w:cs="Arial" w:eastAsia="Arial" w:hAnsi="Arial"/>
          <w:color w:val="1C1C1C"/>
          <w:sz w:val="22"/>
          <w:szCs w:val="22"/>
        </w:rPr>
        <w:t xml:space="preserve">Boards expect data. CFOs expect ROI. L&amp;D needs clarity on where capability gaps sit. The following outcomes are aggregated across enterprise diagnostic engagements conducted 2022--2024.</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OUTCOME</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W w:type="dxa" w:w="3800"/>
            <w:tcBorders>
              <w:top w:val="single" w:color="C8D8E8" w:sz="1"/>
              <w:left w:val="single" w:color="C8D8E8" w:sz="1"/>
              <w:bottom w:val="single" w:color="C8D8E8" w:sz="1"/>
              <w:right w:val="single" w:color="C8D8E8" w:sz="1"/>
            </w:tcBorders>
            <w:shd w:fill="FFFFFF" w:val="clear"/>
            <w:tcMar>
              <w:top w:type="dxa" w:w="100"/>
              <w:left w:type="dxa" w:w="150"/>
              <w:bottom w:type="dxa" w:w="100"/>
              <w:right w:type="dxa" w:w="150"/>
            </w:tcMar>
          </w:tcPr>
          <w:p>
            <w:r>
              <w:rPr>
                <w:rFonts w:ascii="Arial" w:cs="Arial" w:eastAsia="Arial" w:hAnsi="Arial"/>
                <w:b/>
                <w:bCs/>
                <w:color w:val="1B3A6B"/>
                <w:sz w:val="20"/>
                <w:szCs w:val="20"/>
              </w:rPr>
              <w:t xml:space="preserve">Hiring Accuracy</w:t>
            </w:r>
          </w:p>
        </w:tc>
        <w:tc>
          <w:tcPr>
            <w:tcW w:type="dxa" w:w="3800"/>
            <w:tcBorders>
              <w:top w:val="single" w:color="C8D8E8" w:sz="1"/>
              <w:left w:val="single" w:color="C8D8E8" w:sz="1"/>
              <w:bottom w:val="single" w:color="C8D8E8" w:sz="1"/>
              <w:right w:val="single" w:color="C8D8E8" w:sz="1"/>
            </w:tcBorders>
            <w:shd w:fill="FFFFFF" w:val="clear"/>
            <w:tcMar>
              <w:top w:type="dxa" w:w="100"/>
              <w:left w:type="dxa" w:w="150"/>
              <w:bottom w:type="dxa" w:w="100"/>
              <w:right w:type="dxa" w:w="150"/>
            </w:tcMar>
          </w:tcPr>
          <w:p>
            <w:r>
              <w:rPr>
                <w:rFonts w:ascii="Arial" w:cs="Arial" w:eastAsia="Arial" w:hAnsi="Arial"/>
                <w:color w:val="1C1C1C"/>
                <w:sz w:val="20"/>
                <w:szCs w:val="20"/>
              </w:rPr>
              <w:t xml:space="preserve">After Edstellar diagnostics: +42% improvement in quality of hire</w:t>
            </w:r>
          </w:p>
        </w:tc>
        <w:tc>
          <w:tcPr>
            <w:tcW w:type="dxa" w:w="1760"/>
            <w:tcBorders>
              <w:top w:val="single" w:color="0E7C7B" w:sz="1"/>
              <w:left w:val="single" w:color="0E7C7B" w:sz="1"/>
              <w:bottom w:val="single" w:color="0E7C7B" w:sz="1"/>
              <w:right w:val="single" w:color="0E7C7B" w:sz="1"/>
            </w:tcBorders>
            <w:shd w:fill="EBF4FA" w:val="clear"/>
            <w:tcMar>
              <w:top w:type="dxa" w:w="100"/>
              <w:left w:type="dxa" w:w="100"/>
              <w:bottom w:type="dxa" w:w="100"/>
              <w:right w:type="dxa" w:w="100"/>
            </w:tcMar>
          </w:tcPr>
          <w:p>
            <w:pPr>
              <w:jc w:val="center"/>
            </w:pPr>
            <w:r>
              <w:rPr>
                <w:rFonts w:ascii="Arial" w:cs="Arial" w:eastAsia="Arial" w:hAnsi="Arial"/>
                <w:b/>
                <w:bCs/>
                <w:color w:val="0E7C7B"/>
                <w:sz w:val="22"/>
                <w:szCs w:val="22"/>
              </w:rPr>
              <w:t xml:space="preserve">+42%</w:t>
            </w:r>
          </w:p>
        </w:tc>
      </w:tr>
      <w:tr>
        <w:tc>
          <w:tcPr>
            <w:tcW w:type="dxa" w:w="3800"/>
            <w:tcBorders>
              <w:top w:val="single" w:color="C8D8E8" w:sz="1"/>
              <w:left w:val="single" w:color="C8D8E8" w:sz="1"/>
              <w:bottom w:val="single" w:color="C8D8E8" w:sz="1"/>
              <w:right w:val="single" w:color="C8D8E8" w:sz="1"/>
            </w:tcBorders>
            <w:shd w:fill="F5F7FA" w:val="clear"/>
            <w:tcMar>
              <w:top w:type="dxa" w:w="100"/>
              <w:left w:type="dxa" w:w="150"/>
              <w:bottom w:type="dxa" w:w="100"/>
              <w:right w:type="dxa" w:w="150"/>
            </w:tcMar>
          </w:tcPr>
          <w:p>
            <w:r>
              <w:rPr>
                <w:rFonts w:ascii="Arial" w:cs="Arial" w:eastAsia="Arial" w:hAnsi="Arial"/>
                <w:b/>
                <w:bCs/>
                <w:color w:val="1B3A6B"/>
                <w:sz w:val="20"/>
                <w:szCs w:val="20"/>
              </w:rPr>
              <w:t xml:space="preserve">Training ROI</w:t>
            </w:r>
          </w:p>
        </w:tc>
        <w:tc>
          <w:tcPr>
            <w:tcW w:type="dxa" w:w="3800"/>
            <w:tcBorders>
              <w:top w:val="single" w:color="C8D8E8" w:sz="1"/>
              <w:left w:val="single" w:color="C8D8E8" w:sz="1"/>
              <w:bottom w:val="single" w:color="C8D8E8" w:sz="1"/>
              <w:right w:val="single" w:color="C8D8E8" w:sz="1"/>
            </w:tcBorders>
            <w:shd w:fill="F5F7FA" w:val="clear"/>
            <w:tcMar>
              <w:top w:type="dxa" w:w="100"/>
              <w:left w:type="dxa" w:w="150"/>
              <w:bottom w:type="dxa" w:w="100"/>
              <w:right w:type="dxa" w:w="150"/>
            </w:tcMar>
          </w:tcPr>
          <w:p>
            <w:r>
              <w:rPr>
                <w:rFonts w:ascii="Arial" w:cs="Arial" w:eastAsia="Arial" w:hAnsi="Arial"/>
                <w:color w:val="1C1C1C"/>
                <w:sz w:val="20"/>
                <w:szCs w:val="20"/>
              </w:rPr>
              <w:t xml:space="preserve">220% improvement in training return on investment after diagnostics</w:t>
            </w:r>
          </w:p>
        </w:tc>
        <w:tc>
          <w:tcPr>
            <w:tcW w:type="dxa" w:w="1760"/>
            <w:tcBorders>
              <w:top w:val="single" w:color="0E7C7B" w:sz="1"/>
              <w:left w:val="single" w:color="0E7C7B" w:sz="1"/>
              <w:bottom w:val="single" w:color="0E7C7B" w:sz="1"/>
              <w:right w:val="single" w:color="0E7C7B" w:sz="1"/>
            </w:tcBorders>
            <w:shd w:fill="EBF4FA" w:val="clear"/>
            <w:tcMar>
              <w:top w:type="dxa" w:w="100"/>
              <w:left w:type="dxa" w:w="100"/>
              <w:bottom w:type="dxa" w:w="100"/>
              <w:right w:type="dxa" w:w="100"/>
            </w:tcMar>
          </w:tcPr>
          <w:p>
            <w:pPr>
              <w:jc w:val="center"/>
            </w:pPr>
            <w:r>
              <w:rPr>
                <w:rFonts w:ascii="Arial" w:cs="Arial" w:eastAsia="Arial" w:hAnsi="Arial"/>
                <w:b/>
                <w:bCs/>
                <w:color w:val="0E7C7B"/>
                <w:sz w:val="22"/>
                <w:szCs w:val="22"/>
              </w:rPr>
              <w:t xml:space="preserve">3.2x</w:t>
            </w:r>
          </w:p>
        </w:tc>
      </w:tr>
      <w:tr>
        <w:tc>
          <w:tcPr>
            <w:tcW w:type="dxa" w:w="3800"/>
            <w:tcBorders>
              <w:top w:val="single" w:color="C8D8E8" w:sz="1"/>
              <w:left w:val="single" w:color="C8D8E8" w:sz="1"/>
              <w:bottom w:val="single" w:color="C8D8E8" w:sz="1"/>
              <w:right w:val="single" w:color="C8D8E8" w:sz="1"/>
            </w:tcBorders>
            <w:shd w:fill="FFFFFF" w:val="clear"/>
            <w:tcMar>
              <w:top w:type="dxa" w:w="100"/>
              <w:left w:type="dxa" w:w="150"/>
              <w:bottom w:type="dxa" w:w="100"/>
              <w:right w:type="dxa" w:w="150"/>
            </w:tcMar>
          </w:tcPr>
          <w:p>
            <w:r>
              <w:rPr>
                <w:rFonts w:ascii="Arial" w:cs="Arial" w:eastAsia="Arial" w:hAnsi="Arial"/>
                <w:b/>
                <w:bCs/>
                <w:color w:val="1B3A6B"/>
                <w:sz w:val="20"/>
                <w:szCs w:val="20"/>
              </w:rPr>
              <w:t xml:space="preserve">Time-to-Productivity</w:t>
            </w:r>
          </w:p>
        </w:tc>
        <w:tc>
          <w:tcPr>
            <w:tcW w:type="dxa" w:w="3800"/>
            <w:tcBorders>
              <w:top w:val="single" w:color="C8D8E8" w:sz="1"/>
              <w:left w:val="single" w:color="C8D8E8" w:sz="1"/>
              <w:bottom w:val="single" w:color="C8D8E8" w:sz="1"/>
              <w:right w:val="single" w:color="C8D8E8" w:sz="1"/>
            </w:tcBorders>
            <w:shd w:fill="FFFFFF" w:val="clear"/>
            <w:tcMar>
              <w:top w:type="dxa" w:w="100"/>
              <w:left w:type="dxa" w:w="150"/>
              <w:bottom w:type="dxa" w:w="100"/>
              <w:right w:type="dxa" w:w="150"/>
            </w:tcMar>
          </w:tcPr>
          <w:p>
            <w:r>
              <w:rPr>
                <w:rFonts w:ascii="Arial" w:cs="Arial" w:eastAsia="Arial" w:hAnsi="Arial"/>
                <w:color w:val="1C1C1C"/>
                <w:sz w:val="20"/>
                <w:szCs w:val="20"/>
              </w:rPr>
              <w:t xml:space="preserve">67% faster time-to-productivity following Edstellar diagnostics</w:t>
            </w:r>
          </w:p>
        </w:tc>
        <w:tc>
          <w:tcPr>
            <w:tcW w:type="dxa" w:w="1760"/>
            <w:tcBorders>
              <w:top w:val="single" w:color="0E7C7B" w:sz="1"/>
              <w:left w:val="single" w:color="0E7C7B" w:sz="1"/>
              <w:bottom w:val="single" w:color="0E7C7B" w:sz="1"/>
              <w:right w:val="single" w:color="0E7C7B" w:sz="1"/>
            </w:tcBorders>
            <w:shd w:fill="EBF4FA" w:val="clear"/>
            <w:tcMar>
              <w:top w:type="dxa" w:w="100"/>
              <w:left w:type="dxa" w:w="100"/>
              <w:bottom w:type="dxa" w:w="100"/>
              <w:right w:type="dxa" w:w="100"/>
            </w:tcMar>
          </w:tcPr>
          <w:p>
            <w:pPr>
              <w:jc w:val="center"/>
            </w:pPr>
            <w:r>
              <w:rPr>
                <w:rFonts w:ascii="Arial" w:cs="Arial" w:eastAsia="Arial" w:hAnsi="Arial"/>
                <w:b/>
                <w:bCs/>
                <w:color w:val="0E7C7B"/>
                <w:sz w:val="22"/>
                <w:szCs w:val="22"/>
              </w:rPr>
              <w:t xml:space="preserve">67%</w:t>
            </w:r>
          </w:p>
        </w:tc>
      </w:tr>
      <w:tr>
        <w:tc>
          <w:tcPr>
            <w:tcW w:type="dxa" w:w="3800"/>
            <w:tcBorders>
              <w:top w:val="single" w:color="C8D8E8" w:sz="1"/>
              <w:left w:val="single" w:color="C8D8E8" w:sz="1"/>
              <w:bottom w:val="single" w:color="C8D8E8" w:sz="1"/>
              <w:right w:val="single" w:color="C8D8E8" w:sz="1"/>
            </w:tcBorders>
            <w:shd w:fill="F5F7FA" w:val="clear"/>
            <w:tcMar>
              <w:top w:type="dxa" w:w="100"/>
              <w:left w:type="dxa" w:w="150"/>
              <w:bottom w:type="dxa" w:w="100"/>
              <w:right w:type="dxa" w:w="150"/>
            </w:tcMar>
          </w:tcPr>
          <w:p>
            <w:r>
              <w:rPr>
                <w:rFonts w:ascii="Arial" w:cs="Arial" w:eastAsia="Arial" w:hAnsi="Arial"/>
                <w:b/>
                <w:bCs/>
                <w:color w:val="1B3A6B"/>
                <w:sz w:val="20"/>
                <w:szCs w:val="20"/>
              </w:rPr>
              <w:t xml:space="preserve">Succession Readiness</w:t>
            </w:r>
          </w:p>
        </w:tc>
        <w:tc>
          <w:tcPr>
            <w:tcW w:type="dxa" w:w="3800"/>
            <w:tcBorders>
              <w:top w:val="single" w:color="C8D8E8" w:sz="1"/>
              <w:left w:val="single" w:color="C8D8E8" w:sz="1"/>
              <w:bottom w:val="single" w:color="C8D8E8" w:sz="1"/>
              <w:right w:val="single" w:color="C8D8E8" w:sz="1"/>
            </w:tcBorders>
            <w:shd w:fill="F5F7FA" w:val="clear"/>
            <w:tcMar>
              <w:top w:type="dxa" w:w="100"/>
              <w:left w:type="dxa" w:w="150"/>
              <w:bottom w:type="dxa" w:w="100"/>
              <w:right w:type="dxa" w:w="150"/>
            </w:tcMar>
          </w:tcPr>
          <w:p>
            <w:r>
              <w:rPr>
                <w:rFonts w:ascii="Arial" w:cs="Arial" w:eastAsia="Arial" w:hAnsi="Arial"/>
                <w:color w:val="1C1C1C"/>
                <w:sz w:val="20"/>
                <w:szCs w:val="20"/>
              </w:rPr>
              <w:t xml:space="preserve">+58% improvement in bench strength and succession readiness</w:t>
            </w:r>
          </w:p>
        </w:tc>
        <w:tc>
          <w:tcPr>
            <w:tcW w:type="dxa" w:w="1760"/>
            <w:tcBorders>
              <w:top w:val="single" w:color="0E7C7B" w:sz="1"/>
              <w:left w:val="single" w:color="0E7C7B" w:sz="1"/>
              <w:bottom w:val="single" w:color="0E7C7B" w:sz="1"/>
              <w:right w:val="single" w:color="0E7C7B" w:sz="1"/>
            </w:tcBorders>
            <w:shd w:fill="EBF4FA" w:val="clear"/>
            <w:tcMar>
              <w:top w:type="dxa" w:w="100"/>
              <w:left w:type="dxa" w:w="100"/>
              <w:bottom w:type="dxa" w:w="100"/>
              <w:right w:type="dxa" w:w="100"/>
            </w:tcMar>
          </w:tcPr>
          <w:p>
            <w:pPr>
              <w:jc w:val="center"/>
            </w:pPr>
            <w:r>
              <w:rPr>
                <w:rFonts w:ascii="Arial" w:cs="Arial" w:eastAsia="Arial" w:hAnsi="Arial"/>
                <w:b/>
                <w:bCs/>
                <w:color w:val="0E7C7B"/>
                <w:sz w:val="22"/>
                <w:szCs w:val="22"/>
              </w:rPr>
              <w:t xml:space="preserve">+58%</w:t>
            </w:r>
          </w:p>
        </w:tc>
      </w:tr>
    </w:tbl>
    <w:p>
      <w:r>
        <w:rPr>
          <w:rFonts w:ascii="Arial" w:cs="Arial" w:eastAsia="Arial" w:hAnsi="Arial"/>
        </w:rPr>
        <w:t xml:space="preserve"/>
      </w:r>
    </w:p>
    <w:p>
      <w:pPr>
        <w:spacing w:before="80" w:after="80" w:line="276"/>
      </w:pPr>
      <w:r>
        <w:rPr>
          <w:rFonts w:ascii="Arial" w:cs="Arial" w:eastAsia="Arial" w:hAnsi="Arial"/>
          <w:color w:val="1C1C1C"/>
          <w:sz w:val="22"/>
          <w:szCs w:val="22"/>
        </w:rPr>
        <w:t xml:space="preserve">Aggregated outcomes across enterprise diagnostic engagements, 2022--2024. Individual results vary by engagement scope and baseline capability level.</w:t>
      </w:r>
    </w:p>
    <w:p>
      <w:r>
        <w:rPr>
          <w:rFonts w:ascii="Arial" w:cs="Arial" w:eastAsia="Arial" w:hAnsi="Arial"/>
        </w:rPr>
        <w:t xml:space="preserve"/>
      </w:r>
    </w:p>
    <w:p>
      <w:pPr>
        <w:pStyle w:val="ListParagraph"/>
        <w:numPr>
          <w:ilvl w:val="0"/>
          <w:numId w:val="3"/>
        </w:numPr>
        <w:spacing w:before="60" w:after="60"/>
      </w:pPr>
      <w:r>
        <w:rPr>
          <w:rFonts w:ascii="Arial" w:cs="Arial" w:eastAsia="Arial" w:hAnsi="Arial"/>
          <w:color w:val="1C1C1C"/>
          <w:sz w:val="22"/>
          <w:szCs w:val="22"/>
        </w:rPr>
        <w:t xml:space="preserve">Validated capability data that removes politics from talent decisions</w:t>
      </w:r>
    </w:p>
    <w:p>
      <w:pPr>
        <w:pStyle w:val="ListParagraph"/>
        <w:numPr>
          <w:ilvl w:val="0"/>
          <w:numId w:val="3"/>
        </w:numPr>
        <w:spacing w:before="60" w:after="60"/>
      </w:pPr>
      <w:r>
        <w:rPr>
          <w:rFonts w:ascii="Arial" w:cs="Arial" w:eastAsia="Arial" w:hAnsi="Arial"/>
          <w:color w:val="1C1C1C"/>
          <w:sz w:val="22"/>
          <w:szCs w:val="22"/>
        </w:rPr>
        <w:t xml:space="preserve">Succession planning grounded in evidence, not tenure or tenure alone</w:t>
      </w:r>
    </w:p>
    <w:p>
      <w:pPr>
        <w:pStyle w:val="ListParagraph"/>
        <w:numPr>
          <w:ilvl w:val="0"/>
          <w:numId w:val="3"/>
        </w:numPr>
        <w:spacing w:before="60" w:after="60"/>
      </w:pPr>
      <w:r>
        <w:rPr>
          <w:rFonts w:ascii="Arial" w:cs="Arial" w:eastAsia="Arial" w:hAnsi="Arial"/>
          <w:color w:val="1C1C1C"/>
          <w:sz w:val="22"/>
          <w:szCs w:val="22"/>
        </w:rPr>
        <w:t xml:space="preserve">Closed-loop model connecting every finding to action  --  insights never sit on a shelf</w:t>
      </w:r>
    </w:p>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13  --  Client Voice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40"/>
              <w:left w:type="dxa" w:w="240"/>
              <w:bottom w:type="dxa" w:w="140"/>
              <w:right w:type="dxa" w:w="240"/>
            </w:tcMar>
          </w:tcPr>
          <w:p>
            <w:r>
              <w:rPr>
                <w:rFonts w:ascii="Arial" w:cs="Arial" w:eastAsia="Arial" w:hAnsi="Arial"/>
                <w:b/>
                <w:bCs/>
                <w:color w:val="FFFFFF"/>
                <w:sz w:val="26"/>
                <w:szCs w:val="26"/>
              </w:rPr>
              <w:t xml:space="preserve">CLIENT VOICE</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Trusted by Fortune 500 Organisations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EBF4FA" w:val="clear"/>
            <w:tcMar>
              <w:top w:type="dxa" w:w="140"/>
              <w:left w:type="dxa" w:w="220"/>
              <w:bottom w:type="dxa" w:w="140"/>
              <w:right w:type="dxa" w:w="220"/>
            </w:tcMar>
          </w:tcPr>
          <w:p>
            <w:r>
              <w:rPr>
                <w:rFonts w:ascii="Arial" w:cs="Arial" w:eastAsia="Arial" w:hAnsi="Arial"/>
                <w:color w:val="E8A020"/>
                <w:sz w:val="28"/>
                <w:szCs w:val="28"/>
              </w:rPr>
              <w:t xml:space="preserve">*****</w:t>
            </w:r>
          </w:p>
          <w:p>
            <w:pPr>
              <w:spacing w:before="80" w:after="80"/>
            </w:pPr>
            <w:r>
              <w:rPr>
                <w:rFonts w:ascii="Arial" w:cs="Arial" w:eastAsia="Arial" w:hAnsi="Arial"/>
                <w:i/>
                <w:iCs/>
                <w:color w:val="1C1C1C"/>
                <w:sz w:val="22"/>
                <w:szCs w:val="22"/>
              </w:rPr>
              <w:t xml:space="preserve">“Edstellar’s leadership development program transformed how our senior managers approach strategic decision-making. The customization to our industry context was exceptional. The Diagnose-to-Develop approach meant we didn’t just receive a report — we received a full development strategy our team could act on immediately.”</w:t>
            </w:r>
          </w:p>
          <w:p>
            <w:r>
              <w:rPr>
                <w:rFonts w:ascii="Arial" w:cs="Arial" w:eastAsia="Arial" w:hAnsi="Arial"/>
                <w:b/>
                <w:bCs/>
                <w:color w:val="1B3A6B"/>
                <w:sz w:val="20"/>
                <w:szCs w:val="20"/>
              </w:rPr>
              <w:t xml:space="preserve">— CHRO, Fortune 500 Manufacturing Company</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14  --  Related Services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RELATED SERVICES</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Diagnostics Works Best With</w:t>
      </w:r>
    </w:p>
    <w:p>
      <w:pPr>
        <w:spacing w:before="80" w:after="80" w:line="276"/>
      </w:pPr>
      <w:r>
        <w:rPr>
          <w:rFonts w:ascii="Arial" w:cs="Arial" w:eastAsia="Arial" w:hAnsi="Arial"/>
          <w:color w:val="1C1C1C"/>
          <w:sz w:val="22"/>
          <w:szCs w:val="22"/>
        </w:rPr>
        <w:t xml:space="preserve">Talent diagnostics is the foundation, but the real value comes when findings connect to action across Edstellar's integrated service ecosystem.</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pPr>
              <w:jc w:val="center"/>
            </w:pPr>
            <w:r>
              <w:rPr>
                <w:rFonts w:ascii="Arial" w:cs="Arial" w:eastAsia="Arial" w:hAnsi="Arial"/>
                <w:b/>
                <w:bCs/>
                <w:caps/>
                <w:color w:val="FFFFFF"/>
                <w:sz w:val="16"/>
                <w:szCs w:val="16"/>
              </w:rPr>
              <w:t xml:space="preserve">Skills Intelligence</w:t>
            </w:r>
          </w:p>
        </w:tc>
        <w:tc>
          <w:tcPr>
            <w:tcW w:type="dxa" w:w="312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pPr>
              <w:jc w:val="center"/>
            </w:pPr>
            <w:r>
              <w:rPr>
                <w:rFonts w:ascii="Arial" w:cs="Arial" w:eastAsia="Arial" w:hAnsi="Arial"/>
                <w:b/>
                <w:bCs/>
                <w:caps/>
                <w:color w:val="FFFFFF"/>
                <w:sz w:val="16"/>
                <w:szCs w:val="16"/>
              </w:rPr>
              <w:t xml:space="preserve">Training Programs</w:t>
            </w:r>
          </w:p>
        </w:tc>
        <w:tc>
          <w:tcPr>
            <w:tcW w:type="dxa" w:w="3120"/>
            <w:tcBorders>
              <w:top w:val="single" w:color="0E7C7B" w:sz="1"/>
              <w:left w:val="single" w:color="0E7C7B" w:sz="1"/>
              <w:bottom w:val="single" w:color="0E7C7B" w:sz="1"/>
              <w:right w:val="single" w:color="0E7C7B" w:sz="1"/>
            </w:tcBorders>
            <w:shd w:fill="0E7C7B" w:val="clear"/>
            <w:tcMar>
              <w:top w:type="dxa" w:w="80"/>
              <w:left w:type="dxa" w:w="120"/>
              <w:bottom w:type="dxa" w:w="80"/>
              <w:right w:type="dxa" w:w="120"/>
            </w:tcMar>
          </w:tcPr>
          <w:p>
            <w:pPr>
              <w:jc w:val="center"/>
            </w:pPr>
            <w:r>
              <w:rPr>
                <w:rFonts w:ascii="Arial" w:cs="Arial" w:eastAsia="Arial" w:hAnsi="Arial"/>
                <w:b/>
                <w:bCs/>
                <w:caps/>
                <w:color w:val="FFFFFF"/>
                <w:sz w:val="16"/>
                <w:szCs w:val="16"/>
              </w:rPr>
              <w:t xml:space="preserve">Consulting &amp; OD</w:t>
            </w:r>
          </w:p>
        </w:tc>
      </w:tr>
      <w:tr>
        <w:tc>
          <w:tcPr>
            <w:tcW w:type="dxa" w:w="3120"/>
            <w:tcBorders>
              <w:top w:val="single" w:color="C8D8E8" w:sz="1"/>
              <w:left w:val="single" w:color="C8D8E8" w:sz="1"/>
              <w:bottom w:val="single" w:color="C8D8E8" w:sz="1"/>
              <w:right w:val="single" w:color="C8D8E8" w:sz="1"/>
            </w:tcBorders>
            <w:shd w:fill="EBF4FA" w:val="clear"/>
            <w:tcMar>
              <w:top w:type="dxa" w:w="80"/>
              <w:left w:type="dxa" w:w="120"/>
              <w:bottom w:type="dxa" w:w="60"/>
              <w:right w:type="dxa" w:w="120"/>
            </w:tcMar>
          </w:tcPr>
          <w:p>
            <w:pPr>
              <w:jc w:val="center"/>
            </w:pPr>
            <w:r>
              <w:rPr>
                <w:rFonts w:ascii="Arial" w:cs="Arial" w:eastAsia="Arial" w:hAnsi="Arial"/>
                <w:b/>
                <w:bCs/>
                <w:color w:val="1B3A6B"/>
                <w:sz w:val="20"/>
                <w:szCs w:val="20"/>
              </w:rPr>
              <w:t xml:space="preserve">Build a Skills-Based Organisation</w:t>
            </w:r>
          </w:p>
        </w:tc>
        <w:tc>
          <w:tcPr>
            <w:tcW w:type="dxa" w:w="3120"/>
            <w:tcBorders>
              <w:top w:val="single" w:color="C8D8E8" w:sz="1"/>
              <w:left w:val="single" w:color="C8D8E8" w:sz="1"/>
              <w:bottom w:val="single" w:color="C8D8E8" w:sz="1"/>
              <w:right w:val="single" w:color="C8D8E8" w:sz="1"/>
            </w:tcBorders>
            <w:shd w:fill="EBF4FA" w:val="clear"/>
            <w:tcMar>
              <w:top w:type="dxa" w:w="80"/>
              <w:left w:type="dxa" w:w="120"/>
              <w:bottom w:type="dxa" w:w="60"/>
              <w:right w:type="dxa" w:w="120"/>
            </w:tcMar>
          </w:tcPr>
          <w:p>
            <w:pPr>
              <w:jc w:val="center"/>
            </w:pPr>
            <w:r>
              <w:rPr>
                <w:rFonts w:ascii="Arial" w:cs="Arial" w:eastAsia="Arial" w:hAnsi="Arial"/>
                <w:b/>
                <w:bCs/>
                <w:color w:val="1B3A6B"/>
                <w:sz w:val="20"/>
                <w:szCs w:val="20"/>
              </w:rPr>
              <w:t xml:space="preserve">Close the Gaps You've Identified</w:t>
            </w:r>
          </w:p>
        </w:tc>
        <w:tc>
          <w:tcPr>
            <w:tcW w:type="dxa" w:w="3120"/>
            <w:tcBorders>
              <w:top w:val="single" w:color="C8D8E8" w:sz="1"/>
              <w:left w:val="single" w:color="C8D8E8" w:sz="1"/>
              <w:bottom w:val="single" w:color="C8D8E8" w:sz="1"/>
              <w:right w:val="single" w:color="C8D8E8" w:sz="1"/>
            </w:tcBorders>
            <w:shd w:fill="EBF4FA" w:val="clear"/>
            <w:tcMar>
              <w:top w:type="dxa" w:w="80"/>
              <w:left w:type="dxa" w:w="120"/>
              <w:bottom w:type="dxa" w:w="60"/>
              <w:right w:type="dxa" w:w="120"/>
            </w:tcMar>
          </w:tcPr>
          <w:p>
            <w:pPr>
              <w:jc w:val="center"/>
            </w:pPr>
            <w:r>
              <w:rPr>
                <w:rFonts w:ascii="Arial" w:cs="Arial" w:eastAsia="Arial" w:hAnsi="Arial"/>
                <w:b/>
                <w:bCs/>
                <w:color w:val="1B3A6B"/>
                <w:sz w:val="20"/>
                <w:szCs w:val="20"/>
              </w:rPr>
              <w:t xml:space="preserve">Transform the Structure, Not Just the Skills</w:t>
            </w:r>
          </w:p>
        </w:tc>
      </w:tr>
      <w:tr>
        <w:tc>
          <w:tcPr>
            <w:tcW w:type="dxa" w:w="3120"/>
            <w:tcBorders>
              <w:top w:val="single" w:color="C8D8E8" w:sz="1"/>
              <w:left w:val="single" w:color="C8D8E8" w:sz="1"/>
              <w:bottom w:val="single" w:color="C8D8E8" w:sz="1"/>
              <w:right w:val="single" w:color="C8D8E8" w:sz="1"/>
            </w:tcBorders>
            <w:shd w:fill="FFFFFF" w:val="clear"/>
            <w:tcMar>
              <w:top w:type="dxa" w:w="60"/>
              <w:left w:type="dxa" w:w="120"/>
              <w:bottom w:type="dxa" w:w="120"/>
              <w:right w:type="dxa" w:w="120"/>
            </w:tcMar>
          </w:tcPr>
          <w:p>
            <w:pPr>
              <w:spacing w:before="0" w:after="0" w:line="276"/>
              <w:jc w:val="center"/>
            </w:pPr>
            <w:r>
              <w:rPr>
                <w:rFonts w:ascii="Arial" w:cs="Arial" w:eastAsia="Arial" w:hAnsi="Arial"/>
                <w:color w:val="1C1C1C"/>
                <w:sz w:val="19"/>
                <w:szCs w:val="19"/>
              </w:rPr>
              <w:t xml:space="preserve">Connect diagnostic data to skills taxonomy design, AI-powered gap analysis, and workforce dashboards.</w:t>
            </w:r>
          </w:p>
        </w:tc>
        <w:tc>
          <w:tcPr>
            <w:tcW w:type="dxa" w:w="3120"/>
            <w:tcBorders>
              <w:top w:val="single" w:color="C8D8E8" w:sz="1"/>
              <w:left w:val="single" w:color="C8D8E8" w:sz="1"/>
              <w:bottom w:val="single" w:color="C8D8E8" w:sz="1"/>
              <w:right w:val="single" w:color="C8D8E8" w:sz="1"/>
            </w:tcBorders>
            <w:shd w:fill="FFFFFF" w:val="clear"/>
            <w:tcMar>
              <w:top w:type="dxa" w:w="60"/>
              <w:left w:type="dxa" w:w="120"/>
              <w:bottom w:type="dxa" w:w="120"/>
              <w:right w:type="dxa" w:w="120"/>
            </w:tcMar>
          </w:tcPr>
          <w:p>
            <w:pPr>
              <w:spacing w:before="0" w:after="0" w:line="276"/>
              <w:jc w:val="center"/>
            </w:pPr>
            <w:r>
              <w:rPr>
                <w:rFonts w:ascii="Arial" w:cs="Arial" w:eastAsia="Arial" w:hAnsi="Arial"/>
                <w:color w:val="1C1C1C"/>
                <w:sz w:val="19"/>
                <w:szCs w:val="19"/>
              </w:rPr>
              <w:t xml:space="preserve">2,000+ expert-led programs directly mapped to diagnostic findings across all business functions.</w:t>
            </w:r>
          </w:p>
        </w:tc>
        <w:tc>
          <w:tcPr>
            <w:tcW w:type="dxa" w:w="3120"/>
            <w:tcBorders>
              <w:top w:val="single" w:color="C8D8E8" w:sz="1"/>
              <w:left w:val="single" w:color="C8D8E8" w:sz="1"/>
              <w:bottom w:val="single" w:color="C8D8E8" w:sz="1"/>
              <w:right w:val="single" w:color="C8D8E8" w:sz="1"/>
            </w:tcBorders>
            <w:shd w:fill="FFFFFF" w:val="clear"/>
            <w:tcMar>
              <w:top w:type="dxa" w:w="60"/>
              <w:left w:type="dxa" w:w="120"/>
              <w:bottom w:type="dxa" w:w="120"/>
              <w:right w:type="dxa" w:w="120"/>
            </w:tcMar>
          </w:tcPr>
          <w:p>
            <w:pPr>
              <w:spacing w:before="0" w:after="0" w:line="276"/>
              <w:jc w:val="center"/>
            </w:pPr>
            <w:r>
              <w:rPr>
                <w:rFonts w:ascii="Arial" w:cs="Arial" w:eastAsia="Arial" w:hAnsi="Arial"/>
                <w:color w:val="1C1C1C"/>
                <w:sz w:val="19"/>
                <w:szCs w:val="19"/>
              </w:rPr>
              <w:t xml:space="preserve">Competency frameworks, succession planning, culture audits, and organisational design  --  powered by diagnostic evidence.</w:t>
            </w:r>
          </w:p>
        </w:tc>
      </w:tr>
    </w:tbl>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15  --  FAQ</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r>
              <w:rPr>
                <w:rFonts w:ascii="Arial" w:cs="Arial" w:eastAsia="Arial" w:hAnsi="Arial"/>
                <w:b/>
                <w:bCs/>
                <w:color w:val="FFFFFF"/>
                <w:sz w:val="26"/>
                <w:szCs w:val="26"/>
              </w:rPr>
              <w:t xml:space="preserve">FREQUENTLY ASKED QUESTIONS</w:t>
            </w:r>
          </w:p>
        </w:tc>
      </w:tr>
    </w:tbl>
    <w:p>
      <w:r>
        <w:rPr>
          <w:rFonts w:ascii="Arial" w:cs="Arial" w:eastAsia="Arial" w:hAnsi="Arial"/>
        </w:rPr>
        <w:t xml:space="preserve"/>
      </w:r>
    </w:p>
    <w:p>
      <w:pPr>
        <w:pStyle w:val="Heading2"/>
        <w:spacing w:before="260" w:after="100"/>
      </w:pPr>
      <w:r>
        <w:rPr>
          <w:rFonts w:ascii="Arial" w:cs="Arial" w:eastAsia="Arial" w:hAnsi="Arial"/>
          <w:b/>
          <w:bCs/>
          <w:color w:val="0E7C7B"/>
          <w:sz w:val="30"/>
          <w:szCs w:val="30"/>
        </w:rPr>
        <w:t xml:space="preserve">Common Questions About Talent Assessments</w:t>
      </w:r>
    </w:p>
    <w:p>
      <w:pPr>
        <w:spacing w:before="80" w:after="80" w:line="276"/>
      </w:pPr>
      <w:r>
        <w:rPr>
          <w:rFonts w:ascii="Arial" w:cs="Arial" w:eastAsia="Arial" w:hAnsi="Arial"/>
          <w:color w:val="1C1C1C"/>
          <w:sz w:val="22"/>
          <w:szCs w:val="22"/>
        </w:rPr>
        <w:t xml:space="preserve">Questions 1--3 are optimised for Google People Also Ask. Questions 4--7 address operational and process queries buyers ask during due diligence.</w:t>
      </w:r>
    </w:p>
    <w:p>
      <w:r>
        <w:rPr>
          <w:rFonts w:ascii="Arial" w:cs="Arial" w:eastAsia="Arial" w:hAnsi="Arial"/>
        </w:rPr>
        <w:t xml:space="preserve"/>
      </w:r>
    </w:p>
    <w:p>
      <w:pPr>
        <w:spacing w:before="120" w:after="40"/>
      </w:pPr>
      <w:r>
        <w:rPr>
          <w:rFonts w:ascii="Arial" w:cs="Arial" w:eastAsia="Arial" w:hAnsi="Arial"/>
          <w:b/>
          <w:bCs/>
          <w:color w:val="1B3A6B"/>
          <w:sz w:val="22"/>
          <w:szCs w:val="22"/>
        </w:rPr>
        <w:t xml:space="preserve">1.  What is a talent assessment and how does it differ from a standard performance review?</w:t>
      </w:r>
    </w:p>
    <w:p>
      <w:pPr>
        <w:spacing w:before="80" w:after="80" w:line="276"/>
      </w:pPr>
      <w:r>
        <w:rPr>
          <w:rFonts w:ascii="Arial" w:cs="Arial" w:eastAsia="Arial" w:hAnsi="Arial"/>
          <w:color w:val="1C1C1C"/>
          <w:sz w:val="22"/>
          <w:szCs w:val="22"/>
        </w:rPr>
        <w:t xml:space="preserve">A talent assessment is an objective, repeatable process for measuring, validating, and verifying employee capabilities  --  producing proficiency data that is defensible and actionable across talent decisions. Unlike a performance review, which assesses past output, a talent assessment measures the underlying capabilities that drive future performance. It combines psychometric profiling, competency validation, and multi-rater feedback into a structured evidence framework. Where standard assessments produce a score, Edstellar diagnostics produce a development strategy.</w:t>
      </w:r>
    </w:p>
    <w:p>
      <w:r>
        <w:rPr>
          <w:rFonts w:ascii="Arial" w:cs="Arial" w:eastAsia="Arial" w:hAnsi="Arial"/>
        </w:rPr>
        <w:t xml:space="preserve"/>
      </w:r>
    </w:p>
    <w:p>
      <w:pPr>
        <w:spacing w:before="120" w:after="40"/>
      </w:pPr>
      <w:r>
        <w:rPr>
          <w:rFonts w:ascii="Arial" w:cs="Arial" w:eastAsia="Arial" w:hAnsi="Arial"/>
          <w:b/>
          <w:bCs/>
          <w:color w:val="1B3A6B"/>
          <w:sz w:val="22"/>
          <w:szCs w:val="22"/>
        </w:rPr>
        <w:t xml:space="preserve">2.  What types of talent assessments does Edstellar offer?</w:t>
      </w:r>
    </w:p>
    <w:p>
      <w:pPr>
        <w:spacing w:before="80" w:after="80" w:line="276"/>
      </w:pPr>
      <w:r>
        <w:rPr>
          <w:rFonts w:ascii="Arial" w:cs="Arial" w:eastAsia="Arial" w:hAnsi="Arial"/>
          <w:color w:val="1C1C1C"/>
          <w:sz w:val="22"/>
          <w:szCs w:val="22"/>
        </w:rPr>
        <w:t xml:space="preserve">Edstellar offers eleven assessment categories across three pillars: Behavioral &amp; Psychological Profiling (psychometric, cognitive, EQ); Skills &amp; Competency Validation (proficiency, role-based, situational judgement, conflict management); and Org Alignment &amp; Multi-Rater Feedback (360 degrees, leadership potential, culture alignment). We also offer Digital Readiness, Agile Mindset, Learning Agility, and Virtual / Gamified assessment capabilities for future-skills and remote-delivery contexts.</w:t>
      </w:r>
    </w:p>
    <w:p>
      <w:r>
        <w:rPr>
          <w:rFonts w:ascii="Arial" w:cs="Arial" w:eastAsia="Arial" w:hAnsi="Arial"/>
        </w:rPr>
        <w:t xml:space="preserve"/>
      </w:r>
    </w:p>
    <w:p>
      <w:pPr>
        <w:spacing w:before="120" w:after="40"/>
      </w:pPr>
      <w:r>
        <w:rPr>
          <w:rFonts w:ascii="Arial" w:cs="Arial" w:eastAsia="Arial" w:hAnsi="Arial"/>
          <w:b/>
          <w:bCs/>
          <w:color w:val="1B3A6B"/>
          <w:sz w:val="22"/>
          <w:szCs w:val="22"/>
        </w:rPr>
        <w:t xml:space="preserve">3.  How does manager verification work in a talent assessment?</w:t>
      </w:r>
    </w:p>
    <w:p>
      <w:pPr>
        <w:spacing w:before="80" w:after="80" w:line="276"/>
      </w:pPr>
      <w:r>
        <w:rPr>
          <w:rFonts w:ascii="Arial" w:cs="Arial" w:eastAsia="Arial" w:hAnsi="Arial"/>
          <w:color w:val="1C1C1C"/>
          <w:sz w:val="22"/>
          <w:szCs w:val="22"/>
        </w:rPr>
        <w:t xml:space="preserve">Manager verification is a structural step  --  not an optional feature. After employees self-rate their proficiency against behavioral indicators, their line manager reviews, confirms, disagrees, or adjusts each rating. Every manager action generates a documented resolution trail capturing rationale and final status. This human verification layer converts self-reported skill claims into auditable, defensible proficiency records that organisations can rely on for succession, development, and mobility decisions.</w:t>
      </w:r>
    </w:p>
    <w:p>
      <w:r>
        <w:rPr>
          <w:rFonts w:ascii="Arial" w:cs="Arial" w:eastAsia="Arial" w:hAnsi="Arial"/>
        </w:rPr>
        <w:t xml:space="preserve"/>
      </w:r>
    </w:p>
    <w:p>
      <w:pPr>
        <w:spacing w:before="120" w:after="40"/>
      </w:pPr>
      <w:r>
        <w:rPr>
          <w:rFonts w:ascii="Arial" w:cs="Arial" w:eastAsia="Arial" w:hAnsi="Arial"/>
          <w:b/>
          <w:bCs/>
          <w:color w:val="1B3A6B"/>
          <w:sz w:val="22"/>
          <w:szCs w:val="22"/>
        </w:rPr>
        <w:t xml:space="preserve">4.  How does Edstellar's Diagnose-to-Develop model work?</w:t>
      </w:r>
    </w:p>
    <w:p>
      <w:pPr>
        <w:spacing w:before="80" w:after="80" w:line="276"/>
      </w:pPr>
      <w:r>
        <w:rPr>
          <w:rFonts w:ascii="Arial" w:cs="Arial" w:eastAsia="Arial" w:hAnsi="Arial"/>
          <w:color w:val="1C1C1C"/>
          <w:sz w:val="22"/>
          <w:szCs w:val="22"/>
        </w:rPr>
        <w:t xml:space="preserve">Our closed-loop model begins with structured diagnostic assessment, translates findings into targeted development recommendations via expert debrief sessions, and connects directly to Edstellar's 2,000+ training programs, OD consulting practice, or skills intelligence platform. Post-development reassessment then measures capability improvement. Insights never sit on a shelf and ROI is always visible  --  we provide before-and-after evidence for every engagement.</w:t>
      </w:r>
    </w:p>
    <w:p>
      <w:r>
        <w:rPr>
          <w:rFonts w:ascii="Arial" w:cs="Arial" w:eastAsia="Arial" w:hAnsi="Arial"/>
        </w:rPr>
        <w:t xml:space="preserve"/>
      </w:r>
    </w:p>
    <w:p>
      <w:pPr>
        <w:spacing w:before="120" w:after="40"/>
      </w:pPr>
      <w:r>
        <w:rPr>
          <w:rFonts w:ascii="Arial" w:cs="Arial" w:eastAsia="Arial" w:hAnsi="Arial"/>
          <w:b/>
          <w:bCs/>
          <w:color w:val="1B3A6B"/>
          <w:sz w:val="22"/>
          <w:szCs w:val="22"/>
        </w:rPr>
        <w:t xml:space="preserve">5.  Who typically commissions talent assessment services?</w:t>
      </w:r>
    </w:p>
    <w:p>
      <w:pPr>
        <w:spacing w:before="80" w:after="80" w:line="276"/>
      </w:pPr>
      <w:r>
        <w:rPr>
          <w:rFonts w:ascii="Arial" w:cs="Arial" w:eastAsia="Arial" w:hAnsi="Arial"/>
          <w:color w:val="1C1C1C"/>
          <w:sz w:val="22"/>
          <w:szCs w:val="22"/>
        </w:rPr>
        <w:t xml:space="preserve">CHROs, L&amp;D Directors, Talent Management Heads, and OD Leaders in enterprise organisations  --  typically with 200 or more employees  --  who need objective capability data to guide development spend and succession decisions. Functional heads (CTOs, CFOs, COOs) also commission diagnostics for their teams, particularly in pre-transformation or M&amp;A contexts where capability mapping is critical.</w:t>
      </w:r>
    </w:p>
    <w:p>
      <w:r>
        <w:rPr>
          <w:rFonts w:ascii="Arial" w:cs="Arial" w:eastAsia="Arial" w:hAnsi="Arial"/>
        </w:rPr>
        <w:t xml:space="preserve"/>
      </w:r>
    </w:p>
    <w:p>
      <w:pPr>
        <w:spacing w:before="120" w:after="40"/>
      </w:pPr>
      <w:r>
        <w:rPr>
          <w:rFonts w:ascii="Arial" w:cs="Arial" w:eastAsia="Arial" w:hAnsi="Arial"/>
          <w:b/>
          <w:bCs/>
          <w:color w:val="1B3A6B"/>
          <w:sz w:val="22"/>
          <w:szCs w:val="22"/>
        </w:rPr>
        <w:t xml:space="preserve">6.  Can assessments be delivered globally across multiple locations?</w:t>
      </w:r>
    </w:p>
    <w:p>
      <w:pPr>
        <w:spacing w:before="80" w:after="80" w:line="276"/>
      </w:pPr>
      <w:r>
        <w:rPr>
          <w:rFonts w:ascii="Arial" w:cs="Arial" w:eastAsia="Arial" w:hAnsi="Arial"/>
          <w:color w:val="1C1C1C"/>
          <w:sz w:val="22"/>
          <w:szCs w:val="22"/>
        </w:rPr>
        <w:t xml:space="preserve">Yes. Edstellar administers assessment programs across 100+ locations worldwide with 5,000+ certified assessors in APAC, Middle East, Europe, and the Americas. We manage logistics, cultural adaptation, and multi-language requirements for enterprise-scale engagements. Virtual delivery, remote proctoring, and gamified assessment formats are available for distributed and hybrid workforces.</w:t>
      </w:r>
    </w:p>
    <w:p>
      <w:r>
        <w:rPr>
          <w:rFonts w:ascii="Arial" w:cs="Arial" w:eastAsia="Arial" w:hAnsi="Arial"/>
        </w:rPr>
        <w:t xml:space="preserve"/>
      </w:r>
    </w:p>
    <w:p>
      <w:pPr>
        <w:spacing w:before="120" w:after="40"/>
      </w:pPr>
      <w:r>
        <w:rPr>
          <w:rFonts w:ascii="Arial" w:cs="Arial" w:eastAsia="Arial" w:hAnsi="Arial"/>
          <w:b/>
          <w:bCs/>
          <w:color w:val="1B3A6B"/>
          <w:sz w:val="22"/>
          <w:szCs w:val="22"/>
        </w:rPr>
        <w:t xml:space="preserve">7.  What happens after the assessment reports are delivered?</w:t>
      </w:r>
    </w:p>
    <w:p>
      <w:pPr>
        <w:spacing w:before="80" w:after="80" w:line="276"/>
      </w:pPr>
      <w:r>
        <w:rPr>
          <w:rFonts w:ascii="Arial" w:cs="Arial" w:eastAsia="Arial" w:hAnsi="Arial"/>
          <w:color w:val="1C1C1C"/>
          <w:sz w:val="22"/>
          <w:szCs w:val="22"/>
        </w:rPr>
        <w:t xml:space="preserve">Unlike standalone assessment vendors, Edstellar doesn't stop at the report. Certified assessors conduct debrief sessions with stakeholders, map findings to prioritised development recommendations, and connect directly to training, consulting, or skills intelligence solutions. Post-development reassessment tracks capability improvement. Every diagnostic engagement has a clear 'what next'  --  and a measurable 'what changed'.</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pBdr>
          <w:bottom w:val="single" w:color="0E7C7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80"/>
              <w:left w:type="dxa" w:w="200"/>
              <w:bottom w:type="dxa" w:w="80"/>
              <w:right w:type="dxa" w:w="200"/>
            </w:tcMar>
          </w:tcPr>
          <w:p>
            <w:r>
              <w:rPr>
                <w:rFonts w:ascii="Arial" w:cs="Arial" w:eastAsia="Arial" w:hAnsi="Arial"/>
                <w:b/>
                <w:bCs/>
                <w:caps/>
                <w:color w:val="0E7C7B"/>
                <w:sz w:val="18"/>
                <w:szCs w:val="18"/>
              </w:rPr>
              <w:t xml:space="preserve">Section 16  --  Closing CTA</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
              <w:bottom w:val="single" w:color="E8A020" w:sz="1"/>
              <w:right w:val="single" w:color="E8A020" w:sz="1"/>
            </w:tcBorders>
            <w:shd w:fill="E8A020" w:val="clear"/>
            <w:tcMar>
              <w:top w:type="dxa" w:w="200"/>
              <w:left w:type="dxa" w:w="280"/>
              <w:bottom w:type="dxa" w:w="200"/>
              <w:right w:type="dxa" w:w="280"/>
            </w:tcMar>
          </w:tcPr>
          <w:p>
            <w:pPr>
              <w:jc w:val="center"/>
            </w:pPr>
            <w:r>
              <w:rPr>
                <w:rFonts w:ascii="Arial" w:cs="Arial" w:eastAsia="Arial" w:hAnsi="Arial"/>
                <w:b/>
                <w:bCs/>
                <w:color w:val="FFFFFF"/>
                <w:sz w:val="32"/>
                <w:szCs w:val="32"/>
              </w:rPr>
              <w:t xml:space="preserve">Ready to Replace Guesswork With Evidence?</w:t>
            </w:r>
          </w:p>
          <w:p>
            <w:pPr>
              <w:spacing w:before="80" w:after="0"/>
              <w:jc w:val="center"/>
            </w:pPr>
            <w:r>
              <w:rPr>
                <w:rFonts w:ascii="Arial" w:cs="Arial" w:eastAsia="Arial" w:hAnsi="Arial"/>
                <w:color w:val="FFFFFF"/>
                <w:sz w:val="21"/>
                <w:szCs w:val="21"/>
              </w:rPr>
              <w:t xml:space="preserve">Start with a diagnostic consultation  --  scoped to your organisation, not a generic template.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8E8" w:sz="1"/>
              <w:left w:val="single" w:color="C8D8E8" w:sz="1"/>
              <w:bottom w:val="single" w:color="C8D8E8" w:sz="1"/>
              <w:right w:val="single" w:color="C8D8E8" w:sz="1"/>
            </w:tcBorders>
            <w:shd w:fill="FFFFFF" w:val="clear"/>
            <w:tcMar>
              <w:top w:type="dxa" w:w="140"/>
              <w:left w:type="dxa" w:w="140"/>
              <w:bottom w:type="dxa" w:w="140"/>
              <w:right w:type="dxa" w:w="140"/>
            </w:tcMar>
          </w:tcPr>
          <w:p>
            <w:pPr>
              <w:jc w:val="center"/>
            </w:pPr>
            <w:r>
              <w:rPr>
                <w:rFonts w:ascii="Arial" w:cs="Arial" w:eastAsia="Arial" w:hAnsi="Arial"/>
                <w:b/>
                <w:bCs/>
                <w:color w:val="0E7C7B"/>
                <w:sz w:val="20"/>
                <w:szCs w:val="20"/>
              </w:rPr>
              <w:t xml:space="preserve">Request a Diagnostic Consultation -&gt;</w:t>
            </w:r>
          </w:p>
          <w:p>
            <w:pPr>
              <w:spacing w:before="40" w:after="0"/>
              <w:jc w:val="center"/>
            </w:pPr>
            <w:r>
              <w:rPr>
                <w:rFonts w:ascii="Arial" w:cs="Arial" w:eastAsia="Arial" w:hAnsi="Arial"/>
                <w:i/>
                <w:iCs/>
                <w:color w:val="5A5A5A"/>
                <w:sz w:val="17"/>
                <w:szCs w:val="17"/>
              </w:rPr>
              <w:t xml:space="preserve">High-intent: book a scoped consultation with an assessment specialist</w:t>
            </w:r>
          </w:p>
        </w:tc>
        <w:tc>
          <w:tcPr>
            <w:tcW w:type="dxa" w:w="3120"/>
            <w:tcBorders>
              <w:top w:val="single" w:color="C8D8E8" w:sz="1"/>
              <w:left w:val="single" w:color="C8D8E8" w:sz="1"/>
              <w:bottom w:val="single" w:color="C8D8E8" w:sz="1"/>
              <w:right w:val="single" w:color="C8D8E8" w:sz="1"/>
            </w:tcBorders>
            <w:shd w:fill="FFFFFF" w:val="clear"/>
            <w:tcMar>
              <w:top w:type="dxa" w:w="140"/>
              <w:left w:type="dxa" w:w="140"/>
              <w:bottom w:type="dxa" w:w="140"/>
              <w:right w:type="dxa" w:w="140"/>
            </w:tcMar>
          </w:tcPr>
          <w:p>
            <w:pPr>
              <w:jc w:val="center"/>
            </w:pPr>
            <w:r>
              <w:rPr>
                <w:rFonts w:ascii="Arial" w:cs="Arial" w:eastAsia="Arial" w:hAnsi="Arial"/>
                <w:b/>
                <w:bCs/>
                <w:color w:val="0E7C7B"/>
                <w:sz w:val="20"/>
                <w:szCs w:val="20"/>
              </w:rPr>
              <w:t xml:space="preserve">Download the Sample Report -&gt;</w:t>
            </w:r>
          </w:p>
          <w:p>
            <w:pPr>
              <w:spacing w:before="40" w:after="0"/>
              <w:jc w:val="center"/>
            </w:pPr>
            <w:r>
              <w:rPr>
                <w:rFonts w:ascii="Arial" w:cs="Arial" w:eastAsia="Arial" w:hAnsi="Arial"/>
                <w:i/>
                <w:iCs/>
                <w:color w:val="5A5A5A"/>
                <w:sz w:val="17"/>
                <w:szCs w:val="17"/>
              </w:rPr>
              <w:t xml:space="preserve">Lead-gen: see how Edstellar structures executive diagnostic outputs</w:t>
            </w:r>
          </w:p>
        </w:tc>
        <w:tc>
          <w:tcPr>
            <w:tcW w:type="dxa" w:w="3120"/>
            <w:tcBorders>
              <w:top w:val="single" w:color="C8D8E8" w:sz="1"/>
              <w:left w:val="single" w:color="C8D8E8" w:sz="1"/>
              <w:bottom w:val="single" w:color="C8D8E8" w:sz="1"/>
              <w:right w:val="single" w:color="C8D8E8" w:sz="1"/>
            </w:tcBorders>
            <w:shd w:fill="FFFFFF" w:val="clear"/>
            <w:tcMar>
              <w:top w:type="dxa" w:w="140"/>
              <w:left w:type="dxa" w:w="140"/>
              <w:bottom w:type="dxa" w:w="140"/>
              <w:right w:type="dxa" w:w="140"/>
            </w:tcMar>
          </w:tcPr>
          <w:p>
            <w:pPr>
              <w:jc w:val="center"/>
            </w:pPr>
            <w:r>
              <w:rPr>
                <w:rFonts w:ascii="Arial" w:cs="Arial" w:eastAsia="Arial" w:hAnsi="Arial"/>
                <w:b/>
                <w:bCs/>
                <w:color w:val="0E7C7B"/>
                <w:sz w:val="20"/>
                <w:szCs w:val="20"/>
              </w:rPr>
              <w:t xml:space="preserve">Talk to Our Assessment Team -&gt;</w:t>
            </w:r>
          </w:p>
          <w:p>
            <w:pPr>
              <w:spacing w:before="40" w:after="0"/>
              <w:jc w:val="center"/>
            </w:pPr>
            <w:r>
              <w:rPr>
                <w:rFonts w:ascii="Arial" w:cs="Arial" w:eastAsia="Arial" w:hAnsi="Arial"/>
                <w:i/>
                <w:iCs/>
                <w:color w:val="5A5A5A"/>
                <w:sz w:val="17"/>
                <w:szCs w:val="17"/>
              </w:rPr>
              <w:t xml:space="preserve">Soft-touch: for exploratory or early-stage inquiries</w:t>
            </w:r>
          </w:p>
        </w:tc>
      </w:tr>
    </w:tbl>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1"/>
              <w:left w:val="single" w:color="D0D8E4" w:sz="1"/>
              <w:bottom w:val="single" w:color="D0D8E4" w:sz="1"/>
              <w:right w:val="single" w:color="D0D8E4" w:sz="1"/>
            </w:tcBorders>
            <w:shd w:fill="F5F7FA" w:val="clear"/>
            <w:tcMar>
              <w:top w:type="dxa" w:w="140"/>
              <w:left w:type="dxa" w:w="220"/>
              <w:bottom w:type="dxa" w:w="140"/>
              <w:right w:type="dxa" w:w="220"/>
            </w:tcMar>
          </w:tcPr>
          <w:p>
            <w:r>
              <w:rPr>
                <w:rFonts w:ascii="Arial" w:cs="Arial" w:eastAsia="Arial" w:hAnsi="Arial"/>
                <w:b/>
                <w:bCs/>
                <w:color w:val="1B3A6B"/>
                <w:sz w:val="19"/>
                <w:szCs w:val="19"/>
              </w:rPr>
              <w:t xml:space="preserve">Document Note: </w:t>
            </w:r>
            <w:r>
              <w:rPr>
                <w:rFonts w:ascii="Arial" w:cs="Arial" w:eastAsia="Arial" w:hAnsi="Arial"/>
                <w:color w:val="1C1C1C"/>
                <w:sz w:val="19"/>
                <w:szCs w:val="19"/>
              </w:rPr>
              <w:t xml:space="preserve">This is the merged master document combining: (1) all proprietary content, models, and metrics from Edstellar's uploaded draft, and (2) SEO structural elements, missing service categories, and keyword strategy from the competitor-derived strategy document. Sections marked * NEW were added from competitor benchmarking. Review and adapt before publishing.</w:t>
            </w:r>
          </w:p>
        </w:tc>
      </w:tr>
    </w:tbl>
    <w:p>
      <w:pPr>
        <w:spacing w:before="100" w:after="60"/>
        <w:jc w:val="center"/>
      </w:pPr>
      <w:r>
        <w:rPr>
          <w:rFonts w:ascii="Arial" w:cs="Arial" w:eastAsia="Arial" w:hAnsi="Arial"/>
          <w:color w:val="5A5A5A"/>
          <w:sz w:val="18"/>
          <w:szCs w:val="18"/>
        </w:rPr>
        <w:t xml:space="preserve">(c) 2025 Edstellar. All rights reserved.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1"/>
      </w:pBdr>
    </w:pPr>
    <w:r>
      <w:rPr>
        <w:rFonts w:ascii="Arial" w:cs="Arial" w:eastAsia="Arial" w:hAnsi="Arial"/>
        <w:color w:val="5A5A5A"/>
        <w:sz w:val="16"/>
        <w:szCs w:val="16"/>
      </w:rPr>
      <w:t xml:space="preserve">Confidential  --  Internal Review Draft   |   Merged from: talent-assessments.docx + SEO Strategy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1"/>
      </w:pBdr>
    </w:pPr>
    <w:r>
      <w:rPr>
        <w:rFonts w:ascii="Arial" w:cs="Arial" w:eastAsia="Arial" w:hAnsi="Arial"/>
        <w:b/>
        <w:bCs/>
        <w:color w:val="1B3A6B"/>
        <w:sz w:val="18"/>
        <w:szCs w:val="18"/>
      </w:rPr>
      <w:t xml:space="preserve">EDSTELLAR</w:t>
    </w:r>
    <w:r>
      <w:rPr>
        <w:rFonts w:ascii="Arial" w:cs="Arial" w:eastAsia="Arial" w:hAnsi="Arial"/>
        <w:color w:val="5A5A5A"/>
        <w:sz w:val="18"/>
        <w:szCs w:val="18"/>
      </w:rPr>
      <w:t xml:space="preserve">   |   Talent Assessments  --  Corporate Service Page (Merged Master)   |   edstellar.com/talent-assessments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0E7C7B"/>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color w:val="1A7A4A"/>
        <w:sz w:val="22"/>
        <w:szCs w:val="22"/>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6B"/>
      <w:sz w:val="38"/>
      <w:szCs w:val="38"/>
    </w:rPr>
  </w:style>
  <w:style w:type="paragraph" w:styleId="Heading2">
    <w:name w:val="Heading 2"/>
    <w:basedOn w:val="Normal"/>
    <w:next w:val="Normal"/>
    <w:qFormat/>
    <w:pPr>
      <w:spacing w:before="260" w:after="100"/>
      <w:outlineLvl w:val="1"/>
    </w:pPr>
    <w:rPr>
      <w:rFonts w:ascii="Arial" w:cs="Arial" w:eastAsia="Arial" w:hAnsi="Arial"/>
      <w:b/>
      <w:bCs/>
      <w:color w:val="0E7C7B"/>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 w:type="paragraph" w:styleId="Heading4">
    <w:name w:val="Heading 4"/>
    <w:basedOn w:val="Normal"/>
    <w:next w:val="Normal"/>
    <w:qFormat/>
    <w:pPr>
      <w:spacing w:before="140" w:after="60"/>
      <w:outlineLvl w:val="3"/>
    </w:pPr>
    <w:rPr>
      <w:rFonts w:ascii="Arial" w:cs="Arial" w:eastAsia="Arial" w:hAnsi="Arial"/>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2026-03-20T08:24:55.994Z</dcterms:created>
  <dcterms:modified xsi:type="dcterms:W3CDTF">2026-03-20T08:24:55.995Z</dcterms:modified>
</cp:coreProperties>
</file>

<file path=docProps/custom.xml><?xml version="1.0" encoding="utf-8"?>
<Properties xmlns="http://schemas.openxmlformats.org/officeDocument/2006/custom-properties" xmlns:vt="http://schemas.openxmlformats.org/officeDocument/2006/docPropsVTypes"/>
</file>