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left"/>
      </w:pPr>
      <w:r>
        <w:rPr>
          <w:rFonts w:ascii="Arial" w:cs="Arial" w:eastAsia="Arial" w:hAnsi="Arial"/>
          <w:color w:val="7F7F7F"/>
          <w:sz w:val="16"/>
          <w:szCs w:val="16"/>
        </w:rPr>
        <w:t xml:space="preserve">Home › Consulting › Transformation &amp; Risk Advisory</w:t>
      </w:r>
    </w:p>
    <w:p>
      <w:pPr>
        <w:pBdr>
          <w:bottom w:val="single" w:color="2E75B6" w:sz="4"/>
        </w:pBdr>
        <w:spacing w:before="120" w:after="120"/>
      </w:pPr>
    </w:p>
    <w:p>
      <w:pPr>
        <w:pStyle w:val="Heading1"/>
      </w:pPr>
      <w:r>
        <w:rPr>
          <w:rFonts w:ascii="Arial" w:cs="Arial" w:eastAsia="Arial" w:hAnsi="Arial"/>
          <w:b/>
          <w:bCs/>
          <w:color w:val="1F3864"/>
          <w:sz w:val="36"/>
          <w:szCs w:val="36"/>
        </w:rPr>
        <w:t xml:space="preserve">Transformation &amp; Risk Advisory for Enterprise Organizations</w:t>
      </w:r>
    </w:p>
    <w:p>
      <w:pPr>
        <w:spacing w:before="80" w:after="80"/>
        <w:jc w:val="left"/>
      </w:pPr>
      <w:r>
        <w:rPr>
          <w:rFonts w:ascii="Arial" w:cs="Arial" w:eastAsia="Arial" w:hAnsi="Arial"/>
          <w:b/>
          <w:bCs/>
          <w:color w:val="1F3864"/>
          <w:sz w:val="22"/>
          <w:szCs w:val="22"/>
        </w:rPr>
        <w:t xml:space="preserve">Transformation fails when organizations move fast without diagnostic clarity. </w:t>
      </w:r>
      <w:r>
        <w:rPr>
          <w:rFonts w:ascii="Arial" w:cs="Arial" w:eastAsia="Arial" w:hAnsi="Arial"/>
          <w:color w:val="333333"/>
          <w:sz w:val="20"/>
          <w:szCs w:val="20"/>
        </w:rPr>
        <w:t xml:space="preserve">Edstellar’s premier change management consulting and organizational risk advisory practice equips enterprise leaders with change architecture, AI readiness intelligence, organizational risk visibility, and workforce transformation strategy — so high-stakes transitions deliver results, not disruption. As a trusted transformation advisory partner to Fortune 500 organizations across APAC, Middle East, and Europe, Edstellar diagnoses before it prescribes.</w:t>
      </w:r>
    </w:p>
    <w:p>
      <w:pPr>
        <w:spacing w:before="60" w:after="80"/>
        <w:jc w:val="left"/>
      </w:pPr>
      <w:r>
        <w:rPr>
          <w:rFonts w:ascii="Arial" w:cs="Arial" w:eastAsia="Arial" w:hAnsi="Arial"/>
          <w:b/>
          <w:bCs/>
          <w:color w:val="2E75B6"/>
          <w:sz w:val="20"/>
          <w:szCs w:val="20"/>
        </w:rPr>
        <w:t xml:space="preserve">→ Request Advisory Consultation    </w:t>
      </w:r>
      <w:r>
        <w:rPr>
          <w:rFonts w:ascii="Arial" w:cs="Arial" w:eastAsia="Arial" w:hAnsi="Arial"/>
          <w:b/>
          <w:bCs/>
          <w:color w:val="2E75B6"/>
          <w:sz w:val="20"/>
          <w:szCs w:val="20"/>
        </w:rPr>
        <w:t xml:space="preserve">→ Explore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TRANSFORMATION READINESS OVERVIEW</w:t>
            </w:r>
          </w:p>
          <w:tbl>
            <w:tblPr>
              <w:tblW w:type="dxa" w:w="39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tblGrid>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Change Readiness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72%</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AI Readiness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46%</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Capability Risk</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Succession Risk</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MEDIUM</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Culture Risk</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LOW</w:t>
                  </w:r>
                </w:p>
              </w:tc>
            </w:tr>
          </w:tbl>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bCs/>
                <w:color w:val="1F3864"/>
                <w:sz w:val="32"/>
                <w:szCs w:val="32"/>
              </w:rPr>
              <w:t xml:space="preserve">14+</w:t>
            </w:r>
          </w:p>
          <w:p>
            <w:pPr>
              <w:jc w:val="center"/>
            </w:pPr>
            <w:r>
              <w:rPr>
                <w:rFonts w:ascii="Arial" w:cs="Arial" w:eastAsia="Arial" w:hAnsi="Arial"/>
                <w:color w:val="555555"/>
                <w:sz w:val="16"/>
                <w:szCs w:val="16"/>
              </w:rPr>
              <w:t xml:space="preserve">Years Enterprise Experience</w:t>
            </w:r>
          </w:p>
          <w:p>
            <w:pPr>
              <w:spacing w:before="60"/>
              <w:jc w:val="center"/>
            </w:pPr>
            <w:r>
              <w:rPr>
                <w:rFonts w:ascii="Arial" w:cs="Arial" w:eastAsia="Arial" w:hAnsi="Arial"/>
                <w:b/>
                <w:bCs/>
                <w:color w:val="1F3864"/>
                <w:sz w:val="32"/>
                <w:szCs w:val="32"/>
              </w:rPr>
              <w:t xml:space="preserve">5,000+</w:t>
            </w:r>
          </w:p>
          <w:p>
            <w:pPr>
              <w:jc w:val="center"/>
            </w:pPr>
            <w:r>
              <w:rPr>
                <w:rFonts w:ascii="Arial" w:cs="Arial" w:eastAsia="Arial" w:hAnsi="Arial"/>
                <w:color w:val="555555"/>
                <w:sz w:val="16"/>
                <w:szCs w:val="16"/>
              </w:rPr>
              <w:t xml:space="preserve">Expert Practitioners Globally</w:t>
            </w:r>
          </w:p>
          <w:p>
            <w:pPr>
              <w:spacing w:before="60"/>
              <w:jc w:val="center"/>
            </w:pPr>
            <w:r>
              <w:rPr>
                <w:rFonts w:ascii="Arial" w:cs="Arial" w:eastAsia="Arial" w:hAnsi="Arial"/>
                <w:b/>
                <w:bCs/>
                <w:color w:val="1F3864"/>
                <w:sz w:val="32"/>
                <w:szCs w:val="32"/>
              </w:rPr>
              <w:t xml:space="preserve">100+</w:t>
            </w:r>
          </w:p>
          <w:p>
            <w:pPr>
              <w:jc w:val="center"/>
            </w:pPr>
            <w:r>
              <w:rPr>
                <w:rFonts w:ascii="Arial" w:cs="Arial" w:eastAsia="Arial" w:hAnsi="Arial"/>
                <w:color w:val="555555"/>
                <w:sz w:val="16"/>
                <w:szCs w:val="16"/>
              </w:rPr>
              <w:t xml:space="preserve">Global Delivery Locations</w:t>
            </w:r>
          </w:p>
          <w:p>
            <w:pPr>
              <w:spacing w:before="60"/>
              <w:jc w:val="center"/>
            </w:pPr>
            <w:r>
              <w:rPr>
                <w:rFonts w:ascii="Arial" w:cs="Arial" w:eastAsia="Arial" w:hAnsi="Arial"/>
                <w:b/>
                <w:bCs/>
                <w:color w:val="1F3864"/>
                <w:sz w:val="24"/>
                <w:szCs w:val="24"/>
              </w:rPr>
              <w:t xml:space="preserve">Fortune 500</w:t>
            </w:r>
          </w:p>
          <w:p>
            <w:pPr>
              <w:jc w:val="center"/>
            </w:pPr>
            <w:r>
              <w:rPr>
                <w:rFonts w:ascii="Arial" w:cs="Arial" w:eastAsia="Arial" w:hAnsi="Arial"/>
                <w:color w:val="555555"/>
                <w:sz w:val="16"/>
                <w:szCs w:val="16"/>
              </w:rPr>
              <w:t xml:space="preserve">Client Portfolio</w:t>
            </w:r>
          </w:p>
        </w:tc>
      </w:tr>
    </w:tbl>
    <w:p>
      <w:pPr>
        <w:spacing w:before="80" w:after="120"/>
        <w:jc w:val="center"/>
      </w:pPr>
      <w:r>
        <w:rPr>
          <w:rFonts w:ascii="Arial" w:cs="Arial" w:eastAsia="Arial" w:hAnsi="Arial"/>
          <w:color w:val="7F7F7F"/>
          <w:sz w:val="18"/>
          <w:szCs w:val="18"/>
        </w:rPr>
        <w:t xml:space="preserve">VISA | ABB | ADITYA BIRLA | and other Fortune 500 organizations</w:t>
      </w:r>
    </w:p>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The Transformation Challenge —</w:t>
      </w:r>
    </w:p>
    <w:p>
      <w:pPr>
        <w:pStyle w:val="Heading2"/>
      </w:pPr>
      <w:r>
        <w:rPr>
          <w:rFonts w:ascii="Arial" w:cs="Arial" w:eastAsia="Arial" w:hAnsi="Arial"/>
          <w:b/>
          <w:bCs/>
          <w:color w:val="1F3864"/>
          <w:sz w:val="28"/>
          <w:szCs w:val="28"/>
        </w:rPr>
        <w:t xml:space="preserve">Most Transformations Fail Before They Start</w:t>
      </w:r>
    </w:p>
    <w:p>
      <w:pPr>
        <w:spacing w:before="60" w:after="80"/>
        <w:jc w:val="left"/>
      </w:pPr>
      <w:r>
        <w:rPr>
          <w:rFonts w:ascii="Arial" w:cs="Arial" w:eastAsia="Arial" w:hAnsi="Arial"/>
          <w:color w:val="333333"/>
          <w:sz w:val="20"/>
          <w:szCs w:val="20"/>
        </w:rPr>
        <w:t xml:space="preserve">Organizations invest heavily in transformation — mergers and acquisitions integration, digital transformation, AI adoption, restructures, operating model shifts — yet the failure rate remains staggeringly high. The root cause is rarely strategy. It’s organizational readiness. Without a systematic change management consulting framework, transformation initiatives stall at the point of human and organizational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2F2" w:val="clear"/>
            <w:tcMar>
              <w:top w:type="dxa" w:w="100"/>
              <w:left w:type="dxa" w:w="140"/>
              <w:bottom w:type="dxa" w:w="100"/>
              <w:right w:type="dxa" w:w="140"/>
            </w:tcMar>
            <w:vAlign w:val="top"/>
          </w:tcPr>
          <w:p>
            <w:pPr>
              <w:jc w:val="center"/>
            </w:pPr>
            <w:r>
              <w:rPr>
                <w:rFonts w:ascii="Arial" w:cs="Arial" w:eastAsia="Arial" w:hAnsi="Arial"/>
                <w:b/>
                <w:bCs/>
                <w:color w:val="C00000"/>
                <w:sz w:val="40"/>
                <w:szCs w:val="40"/>
              </w:rPr>
              <w:t xml:space="preserve">70%</w:t>
            </w:r>
          </w:p>
          <w:p>
            <w:pPr>
              <w:jc w:val="center"/>
            </w:pPr>
            <w:r>
              <w:rPr>
                <w:rFonts w:ascii="Arial" w:cs="Arial" w:eastAsia="Arial" w:hAnsi="Arial"/>
                <w:b/>
                <w:bCs/>
                <w:color w:val="1F3864"/>
                <w:sz w:val="18"/>
                <w:szCs w:val="18"/>
              </w:rPr>
              <w:t xml:space="preserve">Transformation Failure Rate</w:t>
            </w:r>
          </w:p>
          <w:p>
            <w:pPr>
              <w:spacing w:before="60"/>
            </w:pPr>
            <w:r>
              <w:rPr>
                <w:rFonts w:ascii="Arial" w:cs="Arial" w:eastAsia="Arial" w:hAnsi="Arial"/>
                <w:color w:val="333333"/>
                <w:sz w:val="17"/>
                <w:szCs w:val="17"/>
              </w:rPr>
              <w:t xml:space="preserve">Enterprise change management initiatives that fail to achieve their stated objectives, according to McKinsey research spanning two decades of data.</w:t>
            </w:r>
          </w:p>
        </w:tc>
        <w:tc>
          <w:tcPr>
            <w:tcW w:type="dxa" w:w="312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pPr>
              <w:jc w:val="center"/>
            </w:pPr>
            <w:r>
              <w:rPr>
                <w:rFonts w:ascii="Arial" w:cs="Arial" w:eastAsia="Arial" w:hAnsi="Arial"/>
                <w:b/>
                <w:bCs/>
                <w:color w:val="E36C09"/>
                <w:sz w:val="40"/>
                <w:szCs w:val="40"/>
              </w:rPr>
              <w:t xml:space="preserve">54%</w:t>
            </w:r>
          </w:p>
          <w:p>
            <w:pPr>
              <w:jc w:val="center"/>
            </w:pPr>
            <w:r>
              <w:rPr>
                <w:rFonts w:ascii="Arial" w:cs="Arial" w:eastAsia="Arial" w:hAnsi="Arial"/>
                <w:b/>
                <w:bCs/>
                <w:color w:val="1F3864"/>
                <w:sz w:val="18"/>
                <w:szCs w:val="18"/>
              </w:rPr>
              <w:t xml:space="preserve">AI Initiatives Stalled</w:t>
            </w:r>
          </w:p>
          <w:p>
            <w:pPr>
              <w:spacing w:before="60"/>
            </w:pPr>
            <w:r>
              <w:rPr>
                <w:rFonts w:ascii="Arial" w:cs="Arial" w:eastAsia="Arial" w:hAnsi="Arial"/>
                <w:color w:val="333333"/>
                <w:sz w:val="17"/>
                <w:szCs w:val="17"/>
              </w:rPr>
              <w:t xml:space="preserve">Organizations reporting AI transformation projects stuck in pilot phase due to workforce AI skill gaps, unclear governance, change resistance, and leadership misalignment.</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2E75B6"/>
                <w:sz w:val="40"/>
                <w:szCs w:val="40"/>
              </w:rPr>
              <w:t xml:space="preserve">3×</w:t>
            </w:r>
          </w:p>
          <w:p>
            <w:pPr>
              <w:jc w:val="center"/>
            </w:pPr>
            <w:r>
              <w:rPr>
                <w:rFonts w:ascii="Arial" w:cs="Arial" w:eastAsia="Arial" w:hAnsi="Arial"/>
                <w:b/>
                <w:bCs/>
                <w:color w:val="1F3864"/>
                <w:sz w:val="18"/>
                <w:szCs w:val="18"/>
              </w:rPr>
              <w:t xml:space="preserve">Cost of Reactive Response</w:t>
            </w:r>
          </w:p>
          <w:p>
            <w:pPr>
              <w:spacing w:before="60"/>
            </w:pPr>
            <w:r>
              <w:rPr>
                <w:rFonts w:ascii="Arial" w:cs="Arial" w:eastAsia="Arial" w:hAnsi="Arial"/>
                <w:color w:val="333333"/>
                <w:sz w:val="17"/>
                <w:szCs w:val="17"/>
              </w:rPr>
              <w:t xml:space="preserve">Organizations that identify capability risk, transformation risk, and organizational readiness gaps proactively spend up to three times less than those forced into crisis remediation.</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Edstellar’s Transformation &amp; Risk Advisory —</w:t>
      </w:r>
    </w:p>
    <w:p>
      <w:pPr>
        <w:pStyle w:val="Heading2"/>
      </w:pPr>
      <w:r>
        <w:rPr>
          <w:rFonts w:ascii="Arial" w:cs="Arial" w:eastAsia="Arial" w:hAnsi="Arial"/>
          <w:b/>
          <w:bCs/>
          <w:color w:val="1F3864"/>
          <w:sz w:val="28"/>
          <w:szCs w:val="28"/>
        </w:rPr>
        <w:t xml:space="preserve">Three Capabilities. One Integrated Advisory Practice.</w:t>
      </w:r>
    </w:p>
    <w:p>
      <w:pPr>
        <w:spacing w:before="60" w:after="80"/>
        <w:jc w:val="left"/>
      </w:pPr>
      <w:r>
        <w:rPr>
          <w:rFonts w:ascii="Arial" w:cs="Arial" w:eastAsia="Arial" w:hAnsi="Arial"/>
          <w:color w:val="333333"/>
          <w:sz w:val="20"/>
          <w:szCs w:val="20"/>
        </w:rPr>
        <w:t xml:space="preserve">Each service works independently or together — giving your leadership team the diagnostic evidence, change infrastructure, and organizational risk visibility to make confident transformation decisions. Edstellar’s integrated consulting model means advisory insight connects directly to capability-building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Service A</w:t>
            </w:r>
          </w:p>
          <w:p>
            <w:r>
              <w:rPr>
                <w:rFonts w:ascii="Arial" w:cs="Arial" w:eastAsia="Arial" w:hAnsi="Arial"/>
                <w:b/>
                <w:bCs/>
                <w:color w:val="1F3864"/>
                <w:sz w:val="20"/>
                <w:szCs w:val="20"/>
              </w:rPr>
              <w:t xml:space="preserve">Change &amp; Transformation Enablement</w:t>
            </w:r>
          </w:p>
          <w:p>
            <w:pPr>
              <w:spacing w:before="60"/>
            </w:pPr>
            <w:r>
              <w:rPr>
                <w:rFonts w:ascii="Arial" w:cs="Arial" w:eastAsia="Arial" w:hAnsi="Arial"/>
                <w:color w:val="333333"/>
                <w:sz w:val="17"/>
                <w:szCs w:val="17"/>
              </w:rPr>
              <w:t xml:space="preserve">Structured organizational change management architecture for mergers and acquisitions integration, restructures, digital transformation rollouts, and operating model shifts — designed to move your organization through change resistance to adoption.</w:t>
            </w:r>
          </w:p>
          <w:p>
            <w:pPr>
              <w:spacing w:before="60"/>
            </w:pPr>
            <w:r>
              <w:rPr>
                <w:rFonts w:ascii="Arial" w:cs="Arial" w:eastAsia="Arial" w:hAnsi="Arial"/>
                <w:b/>
                <w:bCs/>
                <w:color w:val="2E75B6"/>
                <w:sz w:val="17"/>
                <w:szCs w:val="17"/>
              </w:rPr>
              <w:t xml:space="preserve">Explore Change Enablement →</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Service B</w:t>
            </w:r>
          </w:p>
          <w:p>
            <w:r>
              <w:rPr>
                <w:rFonts w:ascii="Arial" w:cs="Arial" w:eastAsia="Arial" w:hAnsi="Arial"/>
                <w:b/>
                <w:bCs/>
                <w:color w:val="1F3864"/>
                <w:sz w:val="20"/>
                <w:szCs w:val="20"/>
              </w:rPr>
              <w:t xml:space="preserve">AI Readiness Audit &amp; Transformation</w:t>
            </w:r>
          </w:p>
          <w:p>
            <w:pPr>
              <w:spacing w:before="60"/>
            </w:pPr>
            <w:r>
              <w:rPr>
                <w:rFonts w:ascii="Arial" w:cs="Arial" w:eastAsia="Arial" w:hAnsi="Arial"/>
                <w:color w:val="333333"/>
                <w:sz w:val="17"/>
                <w:szCs w:val="17"/>
              </w:rPr>
              <w:t xml:space="preserve">Diagnostic assessment of your organization’s AI adoption readiness — examining workforce AI skills, data literacy, leadership alignment, data maturity, AI governance framework design, and cultural openness.</w:t>
            </w:r>
          </w:p>
          <w:p>
            <w:pPr>
              <w:spacing w:before="60"/>
            </w:pPr>
            <w:r>
              <w:rPr>
                <w:rFonts w:ascii="Arial" w:cs="Arial" w:eastAsia="Arial" w:hAnsi="Arial"/>
                <w:b/>
                <w:bCs/>
                <w:color w:val="2E75B6"/>
                <w:sz w:val="17"/>
                <w:szCs w:val="17"/>
              </w:rPr>
              <w:t xml:space="preserve">Explore AI Readiness →</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Service C</w:t>
            </w:r>
          </w:p>
          <w:p>
            <w:r>
              <w:rPr>
                <w:rFonts w:ascii="Arial" w:cs="Arial" w:eastAsia="Arial" w:hAnsi="Arial"/>
                <w:b/>
                <w:bCs/>
                <w:color w:val="1F3864"/>
                <w:sz w:val="20"/>
                <w:szCs w:val="20"/>
              </w:rPr>
              <w:t xml:space="preserve">Organizational Risk Assessment</w:t>
            </w:r>
          </w:p>
          <w:p>
            <w:pPr>
              <w:spacing w:before="60"/>
            </w:pPr>
            <w:r>
              <w:rPr>
                <w:rFonts w:ascii="Arial" w:cs="Arial" w:eastAsia="Arial" w:hAnsi="Arial"/>
                <w:color w:val="333333"/>
                <w:sz w:val="17"/>
                <w:szCs w:val="17"/>
              </w:rPr>
              <w:t xml:space="preserve">Systematic evaluation of capability risk, talent concentration risk, succession vulnerabilities, culture misalignment, and transformation risk — delivering a prioritized human capital risk register with actionable mitigation strategies.</w:t>
            </w:r>
          </w:p>
          <w:p>
            <w:pPr>
              <w:spacing w:before="60"/>
            </w:pPr>
            <w:r>
              <w:rPr>
                <w:rFonts w:ascii="Arial" w:cs="Arial" w:eastAsia="Arial" w:hAnsi="Arial"/>
                <w:b/>
                <w:bCs/>
                <w:color w:val="2E75B6"/>
                <w:sz w:val="17"/>
                <w:szCs w:val="17"/>
              </w:rPr>
              <w:t xml:space="preserve">Explore Risk Assessment →</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Service A —</w:t>
      </w:r>
    </w:p>
    <w:p>
      <w:pPr>
        <w:pStyle w:val="Heading2"/>
      </w:pPr>
      <w:r>
        <w:rPr>
          <w:rFonts w:ascii="Arial" w:cs="Arial" w:eastAsia="Arial" w:hAnsi="Arial"/>
          <w:b/>
          <w:bCs/>
          <w:color w:val="1F3864"/>
          <w:sz w:val="28"/>
          <w:szCs w:val="28"/>
        </w:rPr>
        <w:t xml:space="preserve">Change and Transformation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22"/>
                <w:szCs w:val="22"/>
              </w:rPr>
              <w:t xml:space="preserve">Build the Change Architecture Your Transformation Needs</w:t>
            </w:r>
          </w:p>
          <w:p>
            <w:pPr>
              <w:spacing w:before="80"/>
            </w:pPr>
            <w:r>
              <w:rPr>
                <w:rFonts w:ascii="Arial" w:cs="Arial" w:eastAsia="Arial" w:hAnsi="Arial"/>
                <w:color w:val="333333"/>
                <w:sz w:val="18"/>
                <w:szCs w:val="18"/>
              </w:rPr>
              <w:t xml:space="preserve">Every major organizational shift — whether it’s a merger integration, technology rollout, restructure, ERP implementation change management, or operating model redesign — requires more than a project plan. It requires change infrastructure: sponsor activation, stakeholder alignment, communication cadence, change resistance management, change fatigue mitigation, and adoption tracking. As a specialist organizational change management (OCM) consulting partner, Edstellar designs and deploys that infrastructure.</w:t>
            </w:r>
          </w:p>
          <w:p>
            <w:pPr>
              <w:spacing w:before="80"/>
            </w:pPr>
            <w:r>
              <w:rPr>
                <w:rFonts w:ascii="Arial" w:cs="Arial" w:eastAsia="Arial" w:hAnsi="Arial"/>
                <w:color w:val="333333"/>
                <w:sz w:val="18"/>
                <w:szCs w:val="18"/>
              </w:rPr>
              <w:t xml:space="preserve">Our approach starts with diagnostic evidence. We map change readiness levels across leadership, management, and frontline populations before designing interventions — so change management strategies target actual friction points, not assumed ones.</w:t>
            </w:r>
          </w:p>
          <w:p>
            <w:pPr>
              <w:spacing w:before="100"/>
            </w:pPr>
          </w:p>
          <w:p>
            <w:pPr>
              <w:pStyle w:val="ListParagraph"/>
              <w:numPr>
                <w:ilvl w:val="0"/>
                <w:numId w:val="2"/>
              </w:numPr>
            </w:pPr>
            <w:r>
              <w:rPr>
                <w:rFonts w:ascii="Arial" w:cs="Arial" w:eastAsia="Arial" w:hAnsi="Arial"/>
                <w:sz w:val="18"/>
                <w:szCs w:val="18"/>
              </w:rPr>
              <w:t xml:space="preserve">Stakeholder impact analysis, change readiness assessment, and organizational readiness diagnostic</w:t>
            </w:r>
          </w:p>
          <w:p>
            <w:pPr>
              <w:pStyle w:val="ListParagraph"/>
              <w:numPr>
                <w:ilvl w:val="0"/>
                <w:numId w:val="2"/>
              </w:numPr>
            </w:pPr>
            <w:r>
              <w:rPr>
                <w:rFonts w:ascii="Arial" w:cs="Arial" w:eastAsia="Arial" w:hAnsi="Arial"/>
                <w:sz w:val="18"/>
                <w:szCs w:val="18"/>
              </w:rPr>
              <w:t xml:space="preserve">Sponsor activation and executive alignment workshops — building the change champion network</w:t>
            </w:r>
          </w:p>
          <w:p>
            <w:pPr>
              <w:pStyle w:val="ListParagraph"/>
              <w:numPr>
                <w:ilvl w:val="0"/>
                <w:numId w:val="2"/>
              </w:numPr>
            </w:pPr>
            <w:r>
              <w:rPr>
                <w:rFonts w:ascii="Arial" w:cs="Arial" w:eastAsia="Arial" w:hAnsi="Arial"/>
                <w:sz w:val="18"/>
                <w:szCs w:val="18"/>
              </w:rPr>
              <w:t xml:space="preserve">Communications architecture, change resistance mitigation playbooks, and change fatigue prevention strategy</w:t>
            </w:r>
          </w:p>
          <w:p>
            <w:pPr>
              <w:pStyle w:val="ListParagraph"/>
              <w:numPr>
                <w:ilvl w:val="0"/>
                <w:numId w:val="2"/>
              </w:numPr>
            </w:pPr>
            <w:r>
              <w:rPr>
                <w:rFonts w:ascii="Arial" w:cs="Arial" w:eastAsia="Arial" w:hAnsi="Arial"/>
                <w:sz w:val="18"/>
                <w:szCs w:val="18"/>
              </w:rPr>
              <w:t xml:space="preserve">Adoption tracking dashboards, technology adoption consulting, and reinforcement strategies</w:t>
            </w:r>
          </w:p>
          <w:p>
            <w:pPr>
              <w:pStyle w:val="ListParagraph"/>
              <w:numPr>
                <w:ilvl w:val="0"/>
                <w:numId w:val="2"/>
              </w:numPr>
            </w:pPr>
            <w:r>
              <w:rPr>
                <w:rFonts w:ascii="Arial" w:cs="Arial" w:eastAsia="Arial" w:hAnsi="Arial"/>
                <w:sz w:val="18"/>
                <w:szCs w:val="18"/>
              </w:rPr>
              <w:t xml:space="preserve">Manager-as-change-agent enablement programs and Prosci ADKAR / Kotter change model alignment</w:t>
            </w:r>
          </w:p>
          <w:p>
            <w:pPr>
              <w:pStyle w:val="ListParagraph"/>
              <w:numPr>
                <w:ilvl w:val="0"/>
                <w:numId w:val="2"/>
              </w:numPr>
            </w:pPr>
            <w:r>
              <w:rPr>
                <w:rFonts w:ascii="Arial" w:cs="Arial" w:eastAsia="Arial" w:hAnsi="Arial"/>
                <w:sz w:val="18"/>
                <w:szCs w:val="18"/>
              </w:rPr>
              <w:t xml:space="preserve">M&amp;A change management and post-merger integration consulting for culture and operating model alignment</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CHANGE ARCHITECTURE FRAMEWORK</w:t>
            </w:r>
          </w:p>
          <w:p>
            <w:pPr>
              <w:spacing w:before="60"/>
            </w:pPr>
            <w:r>
              <w:rPr>
                <w:rFonts w:ascii="Arial" w:cs="Arial" w:eastAsia="Arial" w:hAnsi="Arial"/>
                <w:b/>
                <w:bCs/>
                <w:color w:val="2E75B6"/>
                <w:sz w:val="18"/>
                <w:szCs w:val="18"/>
              </w:rPr>
              <w:t xml:space="preserve">Sponsor Activation</w:t>
            </w:r>
          </w:p>
          <w:p>
            <w:r>
              <w:rPr>
                <w:rFonts w:ascii="Arial" w:cs="Arial" w:eastAsia="Arial" w:hAnsi="Arial"/>
                <w:b/>
                <w:bCs/>
                <w:color w:val="2E75B6"/>
                <w:sz w:val="18"/>
                <w:szCs w:val="18"/>
              </w:rPr>
              <w:t xml:space="preserve">Stakeholder Alignment</w:t>
            </w:r>
          </w:p>
          <w:p>
            <w:pPr>
              <w:spacing w:before="60"/>
            </w:pPr>
            <w:r>
              <w:rPr>
                <w:rFonts w:ascii="Arial" w:cs="Arial" w:eastAsia="Arial" w:hAnsi="Arial"/>
                <w:b/>
                <w:bCs/>
                <w:color w:val="1F3864"/>
                <w:sz w:val="20"/>
                <w:szCs w:val="20"/>
              </w:rPr>
              <w:t xml:space="preserve">CHANGE ENGINE</w:t>
            </w:r>
          </w:p>
          <w:p>
            <w:pPr>
              <w:spacing w:before="60"/>
            </w:pPr>
            <w:r>
              <w:rPr>
                <w:rFonts w:ascii="Arial" w:cs="Arial" w:eastAsia="Arial" w:hAnsi="Arial"/>
                <w:b/>
                <w:bCs/>
                <w:color w:val="E36C09"/>
                <w:sz w:val="18"/>
                <w:szCs w:val="18"/>
              </w:rPr>
              <w:t xml:space="preserve">Resistance Mitigation</w:t>
            </w:r>
          </w:p>
          <w:p>
            <w:r>
              <w:rPr>
                <w:rFonts w:ascii="Arial" w:cs="Arial" w:eastAsia="Arial" w:hAnsi="Arial"/>
                <w:b/>
                <w:bCs/>
                <w:color w:val="2E75B6"/>
                <w:sz w:val="18"/>
                <w:szCs w:val="18"/>
              </w:rPr>
              <w:t xml:space="preserve">Adoption Tracking</w:t>
            </w:r>
          </w:p>
          <w:p>
            <w:r>
              <w:rPr>
                <w:rFonts w:ascii="Arial" w:cs="Arial" w:eastAsia="Arial" w:hAnsi="Arial"/>
                <w:b/>
                <w:bCs/>
                <w:color w:val="2E75B6"/>
                <w:sz w:val="18"/>
                <w:szCs w:val="18"/>
              </w:rPr>
              <w:t xml:space="preserve">Comms Cadence</w:t>
            </w:r>
          </w:p>
          <w:p>
            <w:r>
              <w:rPr>
                <w:rFonts w:ascii="Arial" w:cs="Arial" w:eastAsia="Arial" w:hAnsi="Arial"/>
                <w:b/>
                <w:bCs/>
                <w:color w:val="2E75B6"/>
                <w:sz w:val="18"/>
                <w:szCs w:val="18"/>
              </w:rPr>
              <w:t xml:space="preserve">Manager Enablement</w:t>
            </w:r>
          </w:p>
          <w:p>
            <w:r>
              <w:rPr>
                <w:rFonts w:ascii="Arial" w:cs="Arial" w:eastAsia="Arial" w:hAnsi="Arial"/>
                <w:b/>
                <w:bCs/>
                <w:color w:val="2E75B6"/>
                <w:sz w:val="18"/>
                <w:szCs w:val="18"/>
              </w:rPr>
              <w:t xml:space="preserve">Change Champion Network</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Service B —</w:t>
      </w:r>
    </w:p>
    <w:p>
      <w:pPr>
        <w:pStyle w:val="Heading2"/>
      </w:pPr>
      <w:r>
        <w:rPr>
          <w:rFonts w:ascii="Arial" w:cs="Arial" w:eastAsia="Arial" w:hAnsi="Arial"/>
          <w:b/>
          <w:bCs/>
          <w:color w:val="1F3864"/>
          <w:sz w:val="28"/>
          <w:szCs w:val="28"/>
        </w:rPr>
        <w:t xml:space="preserve">AI Readiness Audit &amp;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22"/>
                <w:szCs w:val="22"/>
              </w:rPr>
              <w:t xml:space="preserve">Diagnose Before You Deploy</w:t>
            </w:r>
          </w:p>
          <w:p>
            <w:pPr>
              <w:spacing w:before="80"/>
            </w:pPr>
            <w:r>
              <w:rPr>
                <w:rFonts w:ascii="Arial" w:cs="Arial" w:eastAsia="Arial" w:hAnsi="Arial"/>
                <w:color w:val="333333"/>
                <w:sz w:val="18"/>
                <w:szCs w:val="18"/>
              </w:rPr>
              <w:t xml:space="preserve">The gap between AI ambition and AI execution is rarely a technology problem. It’s an organizational readiness problem — workforce AI skill gaps, unclear AI governance, leadership misalignment on AI strategy, data literacy deficits, and cultural resistance to new ways of working. Edstellar’s AI readiness audit diagnoses these six dimensions before your organization commits transformation investment, delivering a generative AI readiness assessment that maps exactly where the gaps are.</w:t>
            </w:r>
          </w:p>
          <w:p>
            <w:pPr>
              <w:spacing w:before="80"/>
            </w:pPr>
            <w:r>
              <w:rPr>
                <w:rFonts w:ascii="Arial" w:cs="Arial" w:eastAsia="Arial" w:hAnsi="Arial"/>
                <w:color w:val="333333"/>
                <w:sz w:val="18"/>
                <w:szCs w:val="18"/>
              </w:rPr>
              <w:t xml:space="preserve">The deliverable is a prioritized AI transformation roadmap that integrates directly with Edstellar’s training programs, skills intelligence platform, and change enablement capabilities — creating a closed-loop path from diagnosis to measurable workforce transformation.</w:t>
            </w:r>
          </w:p>
          <w:p>
            <w:pPr>
              <w:spacing w:before="100"/>
            </w:pPr>
          </w:p>
          <w:p>
            <w:pPr>
              <w:pStyle w:val="ListParagraph"/>
              <w:numPr>
                <w:ilvl w:val="0"/>
                <w:numId w:val="2"/>
              </w:numPr>
            </w:pPr>
            <w:r>
              <w:rPr>
                <w:rFonts w:ascii="Arial" w:cs="Arial" w:eastAsia="Arial" w:hAnsi="Arial"/>
                <w:sz w:val="18"/>
                <w:szCs w:val="18"/>
              </w:rPr>
              <w:t xml:space="preserve">Six-dimension AI readiness framework: Skills, Leadership, Data, Governance, Culture, Infrastructure</w:t>
            </w:r>
          </w:p>
          <w:p>
            <w:pPr>
              <w:pStyle w:val="ListParagraph"/>
              <w:numPr>
                <w:ilvl w:val="0"/>
                <w:numId w:val="2"/>
              </w:numPr>
            </w:pPr>
            <w:r>
              <w:rPr>
                <w:rFonts w:ascii="Arial" w:cs="Arial" w:eastAsia="Arial" w:hAnsi="Arial"/>
                <w:sz w:val="18"/>
                <w:szCs w:val="18"/>
              </w:rPr>
              <w:t xml:space="preserve">Function-by-function AI impact analysis, workforce AI skill gaps mapping, and capability mapping</w:t>
            </w:r>
          </w:p>
          <w:p>
            <w:pPr>
              <w:pStyle w:val="ListParagraph"/>
              <w:numPr>
                <w:ilvl w:val="0"/>
                <w:numId w:val="2"/>
              </w:numPr>
            </w:pPr>
            <w:r>
              <w:rPr>
                <w:rFonts w:ascii="Arial" w:cs="Arial" w:eastAsia="Arial" w:hAnsi="Arial"/>
                <w:sz w:val="18"/>
                <w:szCs w:val="18"/>
              </w:rPr>
              <w:t xml:space="preserve">Data literacy assessment and AI governance framework design for responsible adoption</w:t>
            </w:r>
          </w:p>
          <w:p>
            <w:pPr>
              <w:pStyle w:val="ListParagraph"/>
              <w:numPr>
                <w:ilvl w:val="0"/>
                <w:numId w:val="2"/>
              </w:numPr>
            </w:pPr>
            <w:r>
              <w:rPr>
                <w:rFonts w:ascii="Arial" w:cs="Arial" w:eastAsia="Arial" w:hAnsi="Arial"/>
                <w:sz w:val="18"/>
                <w:szCs w:val="18"/>
              </w:rPr>
              <w:t xml:space="preserve">Leadership alignment workshops on AI adoption strategy and workforce reskilling priorities</w:t>
            </w:r>
          </w:p>
          <w:p>
            <w:pPr>
              <w:pStyle w:val="ListParagraph"/>
              <w:numPr>
                <w:ilvl w:val="0"/>
                <w:numId w:val="2"/>
              </w:numPr>
            </w:pPr>
            <w:r>
              <w:rPr>
                <w:rFonts w:ascii="Arial" w:cs="Arial" w:eastAsia="Arial" w:hAnsi="Arial"/>
                <w:sz w:val="18"/>
                <w:szCs w:val="18"/>
              </w:rPr>
              <w:t xml:space="preserve">Prioritized AI workforce transformation roadmap with training integration and change enablement plan</w:t>
            </w:r>
          </w:p>
          <w:p>
            <w:pPr>
              <w:pStyle w:val="ListParagraph"/>
              <w:numPr>
                <w:ilvl w:val="0"/>
                <w:numId w:val="2"/>
              </w:numPr>
            </w:pPr>
            <w:r>
              <w:rPr>
                <w:rFonts w:ascii="Arial" w:cs="Arial" w:eastAsia="Arial" w:hAnsi="Arial"/>
                <w:sz w:val="18"/>
                <w:szCs w:val="18"/>
              </w:rPr>
              <w:t xml:space="preserve">Workforce upskilling strategy and workforce reskilling roadmap tied to AI adoption phases</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AI READINESS — SIX DIMENSIONS</w:t>
            </w:r>
          </w:p>
          <w:tbl>
            <w:tblPr>
              <w:tblW w:type="dxa" w:w="3660"/>
              <w:tblBorders>
                <w:top w:val="single" w:color="auto" w:sz="4"/>
                <w:left w:val="single" w:color="auto" w:sz="4"/>
                <w:bottom w:val="single" w:color="auto" w:sz="4"/>
                <w:right w:val="single" w:color="auto" w:sz="4"/>
                <w:insideH w:val="single" w:color="auto" w:sz="4"/>
                <w:insideV w:val="single" w:color="auto" w:sz="4"/>
              </w:tblBorders>
            </w:tblPr>
            <w:tblGrid>
              <w:gridCol w:w="2200"/>
              <w:gridCol w:w="14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AI DIMENSION</w:t>
                  </w:r>
                </w:p>
              </w:tc>
              <w:tc>
                <w:tcPr>
                  <w:tcW w:type="dxa" w:w="1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SCORE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Skills</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80%</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Leadership</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60%</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Data</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69%</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Governance</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50%</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Culture</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45%</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Infrastructure</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61%</w:t>
                  </w:r>
                </w:p>
              </w:tc>
            </w:tr>
          </w:tbl>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Service C —</w:t>
      </w:r>
    </w:p>
    <w:p>
      <w:pPr>
        <w:pStyle w:val="Heading2"/>
      </w:pPr>
      <w:r>
        <w:rPr>
          <w:rFonts w:ascii="Arial" w:cs="Arial" w:eastAsia="Arial" w:hAnsi="Arial"/>
          <w:b/>
          <w:bCs/>
          <w:color w:val="1F3864"/>
          <w:sz w:val="28"/>
          <w:szCs w:val="28"/>
        </w:rPr>
        <w:t xml:space="preserve">Organizational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22"/>
                <w:szCs w:val="22"/>
              </w:rPr>
              <w:t xml:space="preserve">Surface the Risks Your Org Chart Can’t Show</w:t>
            </w:r>
          </w:p>
          <w:p>
            <w:pPr>
              <w:spacing w:before="80"/>
            </w:pPr>
            <w:r>
              <w:rPr>
                <w:rFonts w:ascii="Arial" w:cs="Arial" w:eastAsia="Arial" w:hAnsi="Arial"/>
                <w:color w:val="333333"/>
                <w:sz w:val="18"/>
                <w:szCs w:val="18"/>
              </w:rPr>
              <w:t xml:space="preserve">Most organizations can identify financial and compliance risk. Far fewer have systematic visibility into organizational risk — the capability gaps, talent concentration risk, succession vulnerabilities, and culture misalignments that quietly erode execution capacity. Edstellar’s organizational risk assessment and people risk management practice surfaces these blind spots using structured diagnostics and validated assessment frameworks.</w:t>
            </w:r>
          </w:p>
          <w:p>
            <w:pPr>
              <w:spacing w:before="80"/>
            </w:pPr>
            <w:r>
              <w:rPr>
                <w:rFonts w:ascii="Arial" w:cs="Arial" w:eastAsia="Arial" w:hAnsi="Arial"/>
                <w:color w:val="333333"/>
                <w:sz w:val="18"/>
                <w:szCs w:val="18"/>
              </w:rPr>
              <w:t xml:space="preserve">The output is a prioritized human capital risk register with severity ratings, business impact projections, and concrete mitigation strategies — each linked to Edstellar’s training, consulting, and diagnostics capabilities so action follows insight without delay.</w:t>
            </w:r>
          </w:p>
          <w:p>
            <w:pPr>
              <w:spacing w:before="100"/>
            </w:pPr>
          </w:p>
          <w:p>
            <w:pPr>
              <w:pStyle w:val="ListParagraph"/>
              <w:numPr>
                <w:ilvl w:val="0"/>
                <w:numId w:val="2"/>
              </w:numPr>
            </w:pPr>
            <w:r>
              <w:rPr>
                <w:rFonts w:ascii="Arial" w:cs="Arial" w:eastAsia="Arial" w:hAnsi="Arial"/>
                <w:sz w:val="18"/>
                <w:szCs w:val="18"/>
              </w:rPr>
              <w:t xml:space="preserve">Five-dimension people risk management framework: Capability, Talent Concentration, Succession, Culture, Transformation</w:t>
            </w:r>
          </w:p>
          <w:p>
            <w:pPr>
              <w:pStyle w:val="ListParagraph"/>
              <w:numPr>
                <w:ilvl w:val="0"/>
                <w:numId w:val="2"/>
              </w:numPr>
            </w:pPr>
            <w:r>
              <w:rPr>
                <w:rFonts w:ascii="Arial" w:cs="Arial" w:eastAsia="Arial" w:hAnsi="Arial"/>
                <w:sz w:val="18"/>
                <w:szCs w:val="18"/>
              </w:rPr>
              <w:t xml:space="preserve">Heat-mapped organizational risk register with severity ratings and business impact scoring</w:t>
            </w:r>
          </w:p>
          <w:p>
            <w:pPr>
              <w:pStyle w:val="ListParagraph"/>
              <w:numPr>
                <w:ilvl w:val="0"/>
                <w:numId w:val="2"/>
              </w:numPr>
            </w:pPr>
            <w:r>
              <w:rPr>
                <w:rFonts w:ascii="Arial" w:cs="Arial" w:eastAsia="Arial" w:hAnsi="Arial"/>
                <w:sz w:val="18"/>
                <w:szCs w:val="18"/>
              </w:rPr>
              <w:t xml:space="preserve">Strategic risk assessment for digital transformation, workforce planning, and organizational agility</w:t>
            </w:r>
          </w:p>
          <w:p>
            <w:pPr>
              <w:pStyle w:val="ListParagraph"/>
              <w:numPr>
                <w:ilvl w:val="0"/>
                <w:numId w:val="2"/>
              </w:numPr>
            </w:pPr>
            <w:r>
              <w:rPr>
                <w:rFonts w:ascii="Arial" w:cs="Arial" w:eastAsia="Arial" w:hAnsi="Arial"/>
                <w:sz w:val="18"/>
                <w:szCs w:val="18"/>
              </w:rPr>
              <w:t xml:space="preserve">Mitigation roadmap integrated with training and OD consulting interventions for closed-loop risk reduction</w:t>
            </w:r>
          </w:p>
          <w:p>
            <w:pPr>
              <w:pStyle w:val="ListParagraph"/>
              <w:numPr>
                <w:ilvl w:val="0"/>
                <w:numId w:val="2"/>
              </w:numPr>
            </w:pPr>
            <w:r>
              <w:rPr>
                <w:rFonts w:ascii="Arial" w:cs="Arial" w:eastAsia="Arial" w:hAnsi="Arial"/>
                <w:sz w:val="18"/>
                <w:szCs w:val="18"/>
              </w:rPr>
              <w:t xml:space="preserve">Executive risk briefing with board-ready reporting format — enterprise risk management language your leadership can present with confidence</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ORGANIZATIONAL RISK HEAT MAP</w:t>
            </w:r>
          </w:p>
          <w:tbl>
            <w:tblPr>
              <w:tblW w:type="dxa" w:w="36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CODE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RISK DIMENSION</w:t>
                  </w:r>
                </w:p>
              </w:tc>
              <w:tc>
                <w:tcPr>
                  <w:tcW w:type="dxa" w:w="12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RISK ZONE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Capability Risk</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Succession Risk</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Transformation Risk</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Cu</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Culture Risk</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Tc</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Talent Concentration</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LOW</w:t>
                  </w:r>
                </w:p>
              </w:tc>
            </w:tr>
          </w:tbl>
          <w:p>
            <w:pPr>
              <w:spacing w:before="60"/>
            </w:pPr>
            <w:r>
              <w:rPr>
                <w:rFonts w:ascii="Arial" w:cs="Arial" w:eastAsia="Arial" w:hAnsi="Arial"/>
                <w:i/>
                <w:iCs/>
                <w:color w:val="7F7F7F"/>
                <w:sz w:val="15"/>
                <w:szCs w:val="15"/>
              </w:rPr>
              <w:t xml:space="preserve">CRITICAL = High Likelihood + High Impact | MEDIUM = Moderate | LOW = Low Likelihood</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Five Risk Dimensions —</w:t>
      </w:r>
    </w:p>
    <w:p>
      <w:pPr>
        <w:pStyle w:val="Heading2"/>
      </w:pPr>
      <w:r>
        <w:rPr>
          <w:rFonts w:ascii="Arial" w:cs="Arial" w:eastAsia="Arial" w:hAnsi="Arial"/>
          <w:b/>
          <w:bCs/>
          <w:color w:val="1F3864"/>
          <w:sz w:val="28"/>
          <w:szCs w:val="28"/>
        </w:rPr>
        <w:t xml:space="preserve">What Edstellar’s Organizational Risk Assessment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Capability Risk</w:t>
            </w:r>
          </w:p>
          <w:p>
            <w:pPr>
              <w:spacing w:before="60"/>
            </w:pPr>
            <w:r>
              <w:rPr>
                <w:rFonts w:ascii="Arial" w:cs="Arial" w:eastAsia="Arial" w:hAnsi="Arial"/>
                <w:color w:val="333333"/>
                <w:sz w:val="17"/>
                <w:szCs w:val="17"/>
              </w:rPr>
              <w:t xml:space="preserve">Critical skill gaps and workforce upskilling deficits that threaten strategic execution capacity and digital transformation outcomes.</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Talent Concentration</w:t>
            </w:r>
          </w:p>
          <w:p>
            <w:pPr>
              <w:spacing w:before="60"/>
            </w:pPr>
            <w:r>
              <w:rPr>
                <w:rFonts w:ascii="Arial" w:cs="Arial" w:eastAsia="Arial" w:hAnsi="Arial"/>
                <w:color w:val="333333"/>
                <w:sz w:val="17"/>
                <w:szCs w:val="17"/>
              </w:rPr>
              <w:t xml:space="preserve">Over-reliance on key individuals creating single points of failure in institutional knowledge and organizational resilience.</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Succession Risk</w:t>
            </w:r>
          </w:p>
          <w:p>
            <w:pPr>
              <w:spacing w:before="60"/>
            </w:pPr>
            <w:r>
              <w:rPr>
                <w:rFonts w:ascii="Arial" w:cs="Arial" w:eastAsia="Arial" w:hAnsi="Arial"/>
                <w:color w:val="333333"/>
                <w:sz w:val="17"/>
                <w:szCs w:val="17"/>
              </w:rPr>
              <w:t xml:space="preserve">Leadership pipeline gaps that endanger organizational continuity and expose the business to unplanned transition risk.</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Culture Risk</w:t>
            </w:r>
          </w:p>
          <w:p>
            <w:pPr>
              <w:spacing w:before="60"/>
            </w:pPr>
            <w:r>
              <w:rPr>
                <w:rFonts w:ascii="Arial" w:cs="Arial" w:eastAsia="Arial" w:hAnsi="Arial"/>
                <w:color w:val="333333"/>
                <w:sz w:val="17"/>
                <w:szCs w:val="17"/>
              </w:rPr>
              <w:t xml:space="preserve">Misalignment between stated values and operational behaviour — a hidden driver of attrition, disengagement, and transformation failure.</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Transformation Risk</w:t>
            </w:r>
          </w:p>
          <w:p>
            <w:pPr>
              <w:spacing w:before="60"/>
            </w:pPr>
            <w:r>
              <w:rPr>
                <w:rFonts w:ascii="Arial" w:cs="Arial" w:eastAsia="Arial" w:hAnsi="Arial"/>
                <w:color w:val="333333"/>
                <w:sz w:val="17"/>
                <w:szCs w:val="17"/>
              </w:rPr>
              <w:t xml:space="preserve">Organizational readiness gaps and change fatigue that could derail change initiatives, digital transformation programs, and AI adoption.</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Engagement Methodology —</w:t>
      </w:r>
    </w:p>
    <w:p>
      <w:pPr>
        <w:pStyle w:val="Heading2"/>
      </w:pPr>
      <w:r>
        <w:rPr>
          <w:rFonts w:ascii="Arial" w:cs="Arial" w:eastAsia="Arial" w:hAnsi="Arial"/>
          <w:b/>
          <w:bCs/>
          <w:color w:val="1F3864"/>
          <w:sz w:val="28"/>
          <w:szCs w:val="28"/>
        </w:rPr>
        <w:t xml:space="preserve">How Edstellar Delivers Transformation &amp; Risk Advisory</w:t>
      </w:r>
    </w:p>
    <w:p>
      <w:pPr>
        <w:spacing w:before="60" w:after="80"/>
        <w:jc w:val="left"/>
      </w:pPr>
      <w:r>
        <w:rPr>
          <w:rFonts w:ascii="Arial" w:cs="Arial" w:eastAsia="Arial" w:hAnsi="Arial"/>
          <w:color w:val="333333"/>
          <w:sz w:val="20"/>
          <w:szCs w:val="20"/>
        </w:rPr>
        <w:t xml:space="preserve">A structured four-phase consulting engagement model that moves from diagnostic evidence through to sustained organizational change — with clear deliverables, timelines, and accountability at every stage. Edstellar diagnoses before it prescribes.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2E75B6"/>
                <w:sz w:val="32"/>
                <w:szCs w:val="32"/>
              </w:rPr>
              <w:t xml:space="preserve">01</w:t>
            </w:r>
          </w:p>
          <w:p>
            <w:r>
              <w:rPr>
                <w:rFonts w:ascii="Arial" w:cs="Arial" w:eastAsia="Arial" w:hAnsi="Arial"/>
                <w:b/>
                <w:bCs/>
                <w:color w:val="1F3864"/>
                <w:sz w:val="20"/>
                <w:szCs w:val="20"/>
              </w:rPr>
              <w:t xml:space="preserve">Diagnostic Discovery</w:t>
            </w:r>
          </w:p>
          <w:p>
            <w:pPr>
              <w:spacing w:before="60"/>
            </w:pPr>
            <w:r>
              <w:rPr>
                <w:rFonts w:ascii="Arial" w:cs="Arial" w:eastAsia="Arial" w:hAnsi="Arial"/>
                <w:color w:val="333333"/>
                <w:sz w:val="17"/>
                <w:szCs w:val="17"/>
              </w:rPr>
              <w:t xml:space="preserve">Stakeholder interviews, change readiness surveys, organizational readiness diagnostic, data gathering, and context immersion. We diagnose before we prescribe.</w:t>
            </w:r>
          </w:p>
          <w:p>
            <w:pPr>
              <w:spacing w:before="60"/>
            </w:pPr>
            <w:r>
              <w:rPr>
                <w:rFonts w:ascii="Arial" w:cs="Arial" w:eastAsia="Arial" w:hAnsi="Arial"/>
                <w:b/>
                <w:bCs/>
                <w:color w:val="2E75B6"/>
                <w:sz w:val="17"/>
                <w:szCs w:val="17"/>
              </w:rPr>
              <w:t xml:space="preserve">⏱ 2–4 Weeks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2E75B6"/>
                <w:sz w:val="32"/>
                <w:szCs w:val="32"/>
              </w:rPr>
              <w:t xml:space="preserve">02</w:t>
            </w:r>
          </w:p>
          <w:p>
            <w:r>
              <w:rPr>
                <w:rFonts w:ascii="Arial" w:cs="Arial" w:eastAsia="Arial" w:hAnsi="Arial"/>
                <w:b/>
                <w:bCs/>
                <w:color w:val="1F3864"/>
                <w:sz w:val="20"/>
                <w:szCs w:val="20"/>
              </w:rPr>
              <w:t xml:space="preserve">Analysis &amp; Framework</w:t>
            </w:r>
          </w:p>
          <w:p>
            <w:pPr>
              <w:spacing w:before="60"/>
            </w:pPr>
            <w:r>
              <w:rPr>
                <w:rFonts w:ascii="Arial" w:cs="Arial" w:eastAsia="Arial" w:hAnsi="Arial"/>
                <w:color w:val="333333"/>
                <w:sz w:val="17"/>
                <w:szCs w:val="17"/>
              </w:rPr>
              <w:t xml:space="preserve">Risk mapping, readiness scoring, capability gap prioritisation, and change architecture design. Evidence becomes strategy. Human capital risk register developed.</w:t>
            </w:r>
          </w:p>
          <w:p>
            <w:pPr>
              <w:spacing w:before="60"/>
            </w:pPr>
            <w:r>
              <w:rPr>
                <w:rFonts w:ascii="Arial" w:cs="Arial" w:eastAsia="Arial" w:hAnsi="Arial"/>
                <w:b/>
                <w:bCs/>
                <w:color w:val="2E75B6"/>
                <w:sz w:val="17"/>
                <w:szCs w:val="17"/>
              </w:rPr>
              <w:t xml:space="preserve">⏱ 3–6 Weeks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2E75B6"/>
                <w:sz w:val="32"/>
                <w:szCs w:val="32"/>
              </w:rPr>
              <w:t xml:space="preserve">03</w:t>
            </w:r>
          </w:p>
          <w:p>
            <w:r>
              <w:rPr>
                <w:rFonts w:ascii="Arial" w:cs="Arial" w:eastAsia="Arial" w:hAnsi="Arial"/>
                <w:b/>
                <w:bCs/>
                <w:color w:val="1F3864"/>
                <w:sz w:val="20"/>
                <w:szCs w:val="20"/>
              </w:rPr>
              <w:t xml:space="preserve">Intervention Design</w:t>
            </w:r>
          </w:p>
          <w:p>
            <w:pPr>
              <w:spacing w:before="60"/>
            </w:pPr>
            <w:r>
              <w:rPr>
                <w:rFonts w:ascii="Arial" w:cs="Arial" w:eastAsia="Arial" w:hAnsi="Arial"/>
                <w:color w:val="333333"/>
                <w:sz w:val="17"/>
                <w:szCs w:val="17"/>
              </w:rPr>
              <w:t xml:space="preserve">Roadmap delivery, mitigation strategies, workforce upskilling integration, AI governance framework design, and executive alignment. Strategy becomes action plan.</w:t>
            </w:r>
          </w:p>
          <w:p>
            <w:pPr>
              <w:spacing w:before="60"/>
            </w:pPr>
            <w:r>
              <w:rPr>
                <w:rFonts w:ascii="Arial" w:cs="Arial" w:eastAsia="Arial" w:hAnsi="Arial"/>
                <w:b/>
                <w:bCs/>
                <w:color w:val="2E75B6"/>
                <w:sz w:val="17"/>
                <w:szCs w:val="17"/>
              </w:rPr>
              <w:t xml:space="preserve">⏱ 4–8 Weeks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2E75B6"/>
                <w:sz w:val="32"/>
                <w:szCs w:val="32"/>
              </w:rPr>
              <w:t xml:space="preserve">04</w:t>
            </w:r>
          </w:p>
          <w:p>
            <w:r>
              <w:rPr>
                <w:rFonts w:ascii="Arial" w:cs="Arial" w:eastAsia="Arial" w:hAnsi="Arial"/>
                <w:b/>
                <w:bCs/>
                <w:color w:val="1F3864"/>
                <w:sz w:val="20"/>
                <w:szCs w:val="20"/>
              </w:rPr>
              <w:t xml:space="preserve">Execution &amp; Tracking</w:t>
            </w:r>
          </w:p>
          <w:p>
            <w:pPr>
              <w:spacing w:before="60"/>
            </w:pPr>
            <w:r>
              <w:rPr>
                <w:rFonts w:ascii="Arial" w:cs="Arial" w:eastAsia="Arial" w:hAnsi="Arial"/>
                <w:color w:val="333333"/>
                <w:sz w:val="17"/>
                <w:szCs w:val="17"/>
              </w:rPr>
              <w:t xml:space="preserve">Implementation support, adoption tracking, change fatigue monitoring, KPI measurement, and continuous recalibration based on organizational feedback.</w:t>
            </w:r>
          </w:p>
          <w:p>
            <w:pPr>
              <w:spacing w:before="60"/>
            </w:pPr>
            <w:r>
              <w:rPr>
                <w:rFonts w:ascii="Arial" w:cs="Arial" w:eastAsia="Arial" w:hAnsi="Arial"/>
                <w:b/>
                <w:bCs/>
                <w:color w:val="2E75B6"/>
                <w:sz w:val="17"/>
                <w:szCs w:val="17"/>
              </w:rPr>
              <w:t xml:space="preserve">⏱ Ongoing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i/>
                <w:iCs/>
                <w:color w:val="333333"/>
                <w:sz w:val="20"/>
                <w:szCs w:val="20"/>
              </w:rPr>
              <w:t xml:space="preserve">“Our digital transformation was stalling — not because of technology, but because we hadn’t diagnosed the organizational readiness gaps. Edstellar’s AI readiness audit gave us the evidence we needed to realign leadership, prioritize workforce upskilling, and build a governance framework that made the programme viable. The difference between moving fast and moving smart.”</w:t>
            </w:r>
          </w:p>
          <w:p>
            <w:pPr>
              <w:spacing w:before="80"/>
            </w:pPr>
            <w:r>
              <w:rPr>
                <w:rFonts w:ascii="Arial" w:cs="Arial" w:eastAsia="Arial" w:hAnsi="Arial"/>
                <w:b/>
                <w:bCs/>
                <w:color w:val="1F3864"/>
                <w:sz w:val="18"/>
                <w:szCs w:val="18"/>
              </w:rPr>
              <w:t xml:space="preserve">— VP of Digital Transformation, Global Technology Firm</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Downloadable Framework —</w:t>
      </w:r>
    </w:p>
    <w:p>
      <w:pPr>
        <w:pStyle w:val="Heading2"/>
      </w:pPr>
      <w:r>
        <w:rPr>
          <w:rFonts w:ascii="Arial" w:cs="Arial" w:eastAsia="Arial" w:hAnsi="Arial"/>
          <w:b/>
          <w:bCs/>
          <w:color w:val="1F3864"/>
          <w:sz w:val="28"/>
          <w:szCs w:val="28"/>
        </w:rPr>
        <w:t xml:space="preserve">Download: Transformation Readiness Assessment Framework</w:t>
      </w:r>
    </w:p>
    <w:p>
      <w:pPr>
        <w:spacing w:before="60" w:after="80"/>
        <w:jc w:val="left"/>
      </w:pPr>
      <w:r>
        <w:rPr>
          <w:rFonts w:ascii="Arial" w:cs="Arial" w:eastAsia="Arial" w:hAnsi="Arial"/>
          <w:color w:val="333333"/>
          <w:sz w:val="20"/>
          <w:szCs w:val="20"/>
        </w:rPr>
        <w:t xml:space="preserve">A diagnostic toolkit for CHROs and transformation leaders — covering change readiness scoring, AI maturity benchmarks, organizational risk prioritization, and future of work capability planning. Built from 14+ years of enterprise transformation advisory experience across Fortune 500 organizations.</w:t>
      </w:r>
    </w:p>
    <w:p>
      <w:pPr>
        <w:spacing w:before="60" w:after="120"/>
        <w:jc w:val="left"/>
      </w:pPr>
      <w:r>
        <w:rPr>
          <w:rFonts w:ascii="Arial" w:cs="Arial" w:eastAsia="Arial" w:hAnsi="Arial"/>
          <w:b/>
          <w:bCs/>
          <w:color w:val="2E75B6"/>
          <w:sz w:val="20"/>
          <w:szCs w:val="20"/>
        </w:rPr>
        <w:t xml:space="preserve">→ Download Framework</w:t>
      </w:r>
    </w:p>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Connected Capabilities —</w:t>
      </w:r>
    </w:p>
    <w:p>
      <w:pPr>
        <w:pStyle w:val="Heading2"/>
      </w:pPr>
      <w:r>
        <w:rPr>
          <w:rFonts w:ascii="Arial" w:cs="Arial" w:eastAsia="Arial" w:hAnsi="Arial"/>
          <w:b/>
          <w:bCs/>
          <w:color w:val="1F3864"/>
          <w:sz w:val="28"/>
          <w:szCs w:val="28"/>
        </w:rPr>
        <w:t xml:space="preserve">From Advisory Insight to Workforce Action</w:t>
      </w:r>
    </w:p>
    <w:p>
      <w:pPr>
        <w:spacing w:before="60" w:after="80"/>
        <w:jc w:val="left"/>
      </w:pPr>
      <w:r>
        <w:rPr>
          <w:rFonts w:ascii="Arial" w:cs="Arial" w:eastAsia="Arial" w:hAnsi="Arial"/>
          <w:color w:val="333333"/>
          <w:sz w:val="20"/>
          <w:szCs w:val="20"/>
        </w:rPr>
        <w:t xml:space="preserve">Edstellar’s transformation advisory identifies the gaps. These premium consulting capabilities close them — creating a seamless path from diagnosis to measurable organizational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Talent Diagnostics</w:t>
            </w:r>
          </w:p>
          <w:p>
            <w:r>
              <w:rPr>
                <w:rFonts w:ascii="Arial" w:cs="Arial" w:eastAsia="Arial" w:hAnsi="Arial"/>
                <w:b/>
                <w:bCs/>
                <w:color w:val="1F3864"/>
                <w:sz w:val="20"/>
                <w:szCs w:val="20"/>
              </w:rPr>
              <w:t xml:space="preserve">Talent Diagnostic Solutions</w:t>
            </w:r>
          </w:p>
          <w:p>
            <w:pPr>
              <w:spacing w:before="60"/>
            </w:pPr>
            <w:r>
              <w:rPr>
                <w:rFonts w:ascii="Arial" w:cs="Arial" w:eastAsia="Arial" w:hAnsi="Arial"/>
                <w:color w:val="333333"/>
                <w:sz w:val="17"/>
                <w:szCs w:val="17"/>
              </w:rPr>
              <w:t xml:space="preserve">Psychometric profiling, 360-degree feedback, and competency validation to ground people risk management findings in objective human capital data.</w:t>
            </w:r>
          </w:p>
          <w:p>
            <w:pPr>
              <w:spacing w:before="60"/>
            </w:pPr>
            <w:r>
              <w:rPr>
                <w:rFonts w:ascii="Arial" w:cs="Arial" w:eastAsia="Arial" w:hAnsi="Arial"/>
                <w:b/>
                <w:bCs/>
                <w:color w:val="2E75B6"/>
                <w:sz w:val="17"/>
                <w:szCs w:val="17"/>
              </w:rPr>
              <w:t xml:space="preserve">Explore Diagnostics →</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Training Programs</w:t>
            </w:r>
          </w:p>
          <w:p>
            <w:r>
              <w:rPr>
                <w:rFonts w:ascii="Arial" w:cs="Arial" w:eastAsia="Arial" w:hAnsi="Arial"/>
                <w:b/>
                <w:bCs/>
                <w:color w:val="1F3864"/>
                <w:sz w:val="20"/>
                <w:szCs w:val="20"/>
              </w:rPr>
              <w:t xml:space="preserve">AI &amp; Digital Transformation Training</w:t>
            </w:r>
          </w:p>
          <w:p>
            <w:pPr>
              <w:spacing w:before="60"/>
            </w:pPr>
            <w:r>
              <w:rPr>
                <w:rFonts w:ascii="Arial" w:cs="Arial" w:eastAsia="Arial" w:hAnsi="Arial"/>
                <w:color w:val="333333"/>
                <w:sz w:val="17"/>
                <w:szCs w:val="17"/>
              </w:rPr>
              <w:t xml:space="preserve">2,000+ expert-led programs covering AI literacy, leadership development, digital capability building, and workforce reskilling across every function.</w:t>
            </w:r>
          </w:p>
          <w:p>
            <w:pPr>
              <w:spacing w:before="60"/>
            </w:pPr>
            <w:r>
              <w:rPr>
                <w:rFonts w:ascii="Arial" w:cs="Arial" w:eastAsia="Arial" w:hAnsi="Arial"/>
                <w:b/>
                <w:bCs/>
                <w:color w:val="2E75B6"/>
                <w:sz w:val="17"/>
                <w:szCs w:val="17"/>
              </w:rPr>
              <w:t xml:space="preserve">Explore Training →</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Skills Intelligence</w:t>
            </w:r>
          </w:p>
          <w:p>
            <w:r>
              <w:rPr>
                <w:rFonts w:ascii="Arial" w:cs="Arial" w:eastAsia="Arial" w:hAnsi="Arial"/>
                <w:b/>
                <w:bCs/>
                <w:color w:val="1F3864"/>
                <w:sz w:val="20"/>
                <w:szCs w:val="20"/>
              </w:rPr>
              <w:t xml:space="preserve">Skills Intelligence &amp; SBO</w:t>
            </w:r>
          </w:p>
          <w:p>
            <w:pPr>
              <w:spacing w:before="60"/>
            </w:pPr>
            <w:r>
              <w:rPr>
                <w:rFonts w:ascii="Arial" w:cs="Arial" w:eastAsia="Arial" w:hAnsi="Arial"/>
                <w:color w:val="333333"/>
                <w:sz w:val="17"/>
                <w:szCs w:val="17"/>
              </w:rPr>
              <w:t xml:space="preserve">Skills taxonomy design, AI-powered gap analysis, and workforce planning dashboards — the data layer that sustains transformation outcomes and future of work readiness.</w:t>
            </w:r>
          </w:p>
          <w:p>
            <w:pPr>
              <w:spacing w:before="60"/>
            </w:pPr>
            <w:r>
              <w:rPr>
                <w:rFonts w:ascii="Arial" w:cs="Arial" w:eastAsia="Arial" w:hAnsi="Arial"/>
                <w:b/>
                <w:bCs/>
                <w:color w:val="2E75B6"/>
                <w:sz w:val="17"/>
                <w:szCs w:val="17"/>
              </w:rPr>
              <w:t xml:space="preserve">Explore Skills Intelligence →</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Frequently Asked Questions —</w:t>
      </w:r>
    </w:p>
    <w:p>
      <w:pPr>
        <w:pStyle w:val="Heading2"/>
      </w:pPr>
      <w:r>
        <w:rPr>
          <w:rFonts w:ascii="Arial" w:cs="Arial" w:eastAsia="Arial" w:hAnsi="Arial"/>
          <w:b/>
          <w:bCs/>
          <w:color w:val="1F3864"/>
          <w:sz w:val="28"/>
          <w:szCs w:val="28"/>
        </w:rPr>
        <w:t xml:space="preserve">Transformation &amp; Risk Advisory — What You Need to Know</w:t>
      </w:r>
    </w:p>
    <w:p>
      <w:pPr>
        <w:spacing w:before="120" w:after="40"/>
      </w:pPr>
      <w:r>
        <w:rPr>
          <w:rFonts w:ascii="Arial" w:cs="Arial" w:eastAsia="Arial" w:hAnsi="Arial"/>
          <w:b/>
          <w:bCs/>
          <w:color w:val="1F3864"/>
          <w:sz w:val="20"/>
          <w:szCs w:val="20"/>
        </w:rPr>
        <w:t xml:space="preserve">Q: What does a change enablement engagement with Edstellar look like?</w:t>
      </w:r>
    </w:p>
    <w:p>
      <w:pPr>
        <w:spacing w:before="40" w:after="80"/>
      </w:pPr>
      <w:r>
        <w:rPr>
          <w:rFonts w:ascii="Arial" w:cs="Arial" w:eastAsia="Arial" w:hAnsi="Arial"/>
          <w:color w:val="333333"/>
          <w:sz w:val="20"/>
          <w:szCs w:val="20"/>
        </w:rPr>
        <w:t xml:space="preserve">A: We begin with a diagnostic phase that maps organizational readiness, change readiness levels, stakeholder sentiment, and structural friction points. From there, we design a change management consulting architecture — communications cadence, sponsor activation plans, change resistance mitigation strategies, and change champion network design — tailored to your transformation context, whether it’s a merger, ERP implementation, technology rollout, or operating model shift. The entire engagement typically runs 3–6 months, with actionable deliverables from the first phase.</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How is an AI readiness audit different from a technology assessment?</w:t>
      </w:r>
    </w:p>
    <w:p>
      <w:pPr>
        <w:spacing w:before="40" w:after="80"/>
      </w:pPr>
      <w:r>
        <w:rPr>
          <w:rFonts w:ascii="Arial" w:cs="Arial" w:eastAsia="Arial" w:hAnsi="Arial"/>
          <w:color w:val="333333"/>
          <w:sz w:val="20"/>
          <w:szCs w:val="20"/>
        </w:rPr>
        <w:t xml:space="preserve">A: Technology assessments focus on infrastructure and tools. Edstellar’s AI readiness audit examines the human and organizational dimensions — workforce AI skill gaps, data literacy levels, leadership alignment on AI adoption strategy, AI governance framework maturity, and cultural openness to new ways of working. The output is a prioritized AI workforce transformation roadmap that integrates with workforce reskilling programs and skills intelligence — not a technology specification document.</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What types of organizational risk does the assessment cover?</w:t>
      </w:r>
    </w:p>
    <w:p>
      <w:pPr>
        <w:spacing w:before="40" w:after="80"/>
      </w:pPr>
      <w:r>
        <w:rPr>
          <w:rFonts w:ascii="Arial" w:cs="Arial" w:eastAsia="Arial" w:hAnsi="Arial"/>
          <w:color w:val="333333"/>
          <w:sz w:val="20"/>
          <w:szCs w:val="20"/>
        </w:rPr>
        <w:t xml:space="preserve">A: Five people risk management dimensions: capability risk (critical skills gaps threatening execution), talent concentration risk (over-reliance on key individuals), succession risk (leadership pipeline vulnerabilities), culture risk (misalignment between stated values and operational behavior), and transformation risk (readiness gaps and change fatigue that could derail digital transformation or AI adoption initiatives). Each dimension receives a severity rating, impact projection, and linked mitigation strategy.</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Can these services be combined with Edstellar’s training programs?</w:t>
      </w:r>
    </w:p>
    <w:p>
      <w:pPr>
        <w:spacing w:before="40" w:after="80"/>
      </w:pPr>
      <w:r>
        <w:rPr>
          <w:rFonts w:ascii="Arial" w:cs="Arial" w:eastAsia="Arial" w:hAnsi="Arial"/>
          <w:color w:val="333333"/>
          <w:sz w:val="20"/>
          <w:szCs w:val="20"/>
        </w:rPr>
        <w:t xml:space="preserve">A: That’s where the real value of Edstellar’s integrated consulting model lies. Transformation advisory identifies the gaps; our training programs, talent diagnostics, and skills intelligence close them. The closed-loop approach means you move from diagnosis to intervention without switching vendors, losing context, or rebuilding stakeholder alignment from scratch. Organizations that engage Edstellar across advisory and training see significantly higher adoption rates and transformation ROI.</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How long does a typical transformation advisory engagement take?</w:t>
      </w:r>
    </w:p>
    <w:p>
      <w:pPr>
        <w:spacing w:before="40" w:after="80"/>
      </w:pPr>
      <w:r>
        <w:rPr>
          <w:rFonts w:ascii="Arial" w:cs="Arial" w:eastAsia="Arial" w:hAnsi="Arial"/>
          <w:color w:val="333333"/>
          <w:sz w:val="20"/>
          <w:szCs w:val="20"/>
        </w:rPr>
        <w:t xml:space="preserve">A: Timelines vary by scope. An AI readiness audit typically runs 4–8 weeks. Change management consulting engagements span 3–6 months depending on transformation complexity and organizational scale. Organizational risk assessments can be delivered in 6–10 weeks. All engagements include actionable deliverables from the diagnostic phase — Edstellar doesn’t wait for the final report to create value.</w:t>
      </w:r>
    </w:p>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Start the Conversation —</w:t>
      </w:r>
    </w:p>
    <w:p>
      <w:pPr>
        <w:pStyle w:val="Heading2"/>
      </w:pPr>
      <w:r>
        <w:rPr>
          <w:rFonts w:ascii="Arial" w:cs="Arial" w:eastAsia="Arial" w:hAnsi="Arial"/>
          <w:b/>
          <w:bCs/>
          <w:color w:val="1F3864"/>
          <w:sz w:val="28"/>
          <w:szCs w:val="28"/>
        </w:rPr>
        <w:t xml:space="preserve">Ready to Transform with Confidence?</w:t>
      </w:r>
    </w:p>
    <w:p>
      <w:pPr>
        <w:spacing w:before="60" w:after="80"/>
        <w:jc w:val="left"/>
      </w:pPr>
      <w:r>
        <w:rPr>
          <w:rFonts w:ascii="Arial" w:cs="Arial" w:eastAsia="Arial" w:hAnsi="Arial"/>
          <w:color w:val="333333"/>
          <w:sz w:val="20"/>
          <w:szCs w:val="20"/>
        </w:rPr>
        <w:t xml:space="preserve">Whether you’re navigating a merger and acquisitions integration, launching an AI adoption strategy, managing digital transformation, or building organizational resilience — Edstellar’s premier transformation advisory and change management consulting practice gives you the diagnostic evidence and change infrastructure to move decisively.</w:t>
      </w:r>
    </w:p>
    <w:p>
      <w:pPr>
        <w:spacing w:before="60" w:after="120"/>
        <w:jc w:val="left"/>
      </w:pPr>
      <w:r>
        <w:rPr>
          <w:rFonts w:ascii="Arial" w:cs="Arial" w:eastAsia="Arial" w:hAnsi="Arial"/>
          <w:b/>
          <w:bCs/>
          <w:color w:val="2E75B6"/>
          <w:sz w:val="20"/>
          <w:szCs w:val="20"/>
        </w:rPr>
        <w:t xml:space="preserve">→ Request an Advisory Consultation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F3864"/>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2026-03-27T05:45:35.042Z</dcterms:created>
  <dcterms:modified xsi:type="dcterms:W3CDTF">2026-03-27T05:45:35.043Z</dcterms:modified>
</cp:coreProperties>
</file>

<file path=docProps/custom.xml><?xml version="1.0" encoding="utf-8"?>
<Properties xmlns="http://schemas.openxmlformats.org/officeDocument/2006/custom-properties" xmlns:vt="http://schemas.openxmlformats.org/officeDocument/2006/docPropsVTypes"/>
</file>