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Consulting Page</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 xml:space="preserve">2026-03-28  |  </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Learning Engagement &amp; Sustainment Consulting | Edstellar</w:t>
            </w:r>
          </w:p>
        </w:tc>
      </w:tr>
      <w:tr>
        <w:tc>
          <w:tcPr>
            <w:tcW w:type="dxa" w:w="4536"/>
          </w:tcPr>
          <w:p>
            <w:r>
              <w:rPr>
                <w:b/>
                <w:color w:val="2D2F6B"/>
                <w:sz w:val="18"/>
              </w:rPr>
              <w:t>Meta Description</w:t>
            </w:r>
          </w:p>
        </w:tc>
        <w:tc>
          <w:tcPr>
            <w:tcW w:type="dxa" w:w="4536"/>
          </w:tcPr>
          <w:p>
            <w:r>
              <w:rPr>
                <w:color w:val="5C5E6E"/>
                <w:sz w:val="18"/>
              </w:rPr>
              <w:t>Drive lasting behavior change with Edstellar's learning engagement and sustainment consulting. Spaced reinforcement, microlearning, manager coaching, and post-training sustainment strategies that defeat the forgetting curve.</w:t>
            </w:r>
          </w:p>
        </w:tc>
      </w:tr>
      <w:tr>
        <w:tc>
          <w:tcPr>
            <w:tcW w:type="dxa" w:w="4536"/>
          </w:tcPr>
          <w:p>
            <w:r>
              <w:rPr>
                <w:b/>
                <w:color w:val="2D2F6B"/>
                <w:sz w:val="18"/>
              </w:rPr>
              <w:t>H1</w:t>
            </w:r>
          </w:p>
        </w:tc>
        <w:tc>
          <w:tcPr>
            <w:tcW w:type="dxa" w:w="4536"/>
          </w:tcPr>
          <w:p>
            <w:r>
              <w:rPr>
                <w:color w:val="5C5E6E"/>
                <w:sz w:val="18"/>
              </w:rPr>
              <w:t>Learning Engagement &amp; Sustainment Consulting</w:t>
            </w:r>
          </w:p>
        </w:tc>
      </w:tr>
      <w:tr>
        <w:tc>
          <w:tcPr>
            <w:tcW w:type="dxa" w:w="4536"/>
          </w:tcPr>
          <w:p>
            <w:r>
              <w:rPr>
                <w:b/>
                <w:color w:val="2D2F6B"/>
                <w:sz w:val="18"/>
              </w:rPr>
              <w:t>Canonical URL</w:t>
            </w:r>
          </w:p>
        </w:tc>
        <w:tc>
          <w:tcPr>
            <w:tcW w:type="dxa" w:w="4536"/>
          </w:tcPr>
          <w:p>
            <w:r>
              <w:rPr>
                <w:color w:val="5C5E6E"/>
                <w:sz w:val="18"/>
              </w:rPr>
              <w:t>/consulting/managed-training-services/learning-engagement-sustainment</w:t>
            </w:r>
          </w:p>
        </w:tc>
      </w:tr>
      <w:tr>
        <w:tc>
          <w:tcPr>
            <w:tcW w:type="dxa" w:w="4536"/>
          </w:tcPr>
          <w:p>
            <w:r>
              <w:rPr>
                <w:b/>
                <w:color w:val="2D2F6B"/>
                <w:sz w:val="18"/>
              </w:rPr>
              <w:t>Primary Keywords</w:t>
            </w:r>
          </w:p>
        </w:tc>
        <w:tc>
          <w:tcPr>
            <w:tcW w:type="dxa" w:w="4536"/>
          </w:tcPr>
          <w:p>
            <w:r>
              <w:rPr>
                <w:color w:val="5C5E6E"/>
                <w:sz w:val="18"/>
              </w:rPr>
              <w:t>learning engagement, learning sustainment, training reinforcement, post-training reinforcement, knowledge retention, learning engagement consulting</w:t>
            </w:r>
          </w:p>
        </w:tc>
      </w:tr>
      <w:tr>
        <w:tc>
          <w:tcPr>
            <w:tcW w:type="dxa" w:w="4536"/>
          </w:tcPr>
          <w:p>
            <w:r>
              <w:rPr>
                <w:b/>
                <w:color w:val="2D2F6B"/>
                <w:sz w:val="18"/>
              </w:rPr>
              <w:t>Secondary Keywords</w:t>
            </w:r>
          </w:p>
        </w:tc>
        <w:tc>
          <w:tcPr>
            <w:tcW w:type="dxa" w:w="4536"/>
          </w:tcPr>
          <w:p>
            <w:r>
              <w:rPr>
                <w:color w:val="5C5E6E"/>
                <w:sz w:val="18"/>
              </w:rPr>
              <w:t>spaced learning, microlearning reinforcement, training sustainment consulting, forgetting curve, learning reinforcement strategies, post-training sustainment, learner engagement consulting, knowledge sustainment, training reinforcement consulting, learning sustainment services, learning engagement firm, learning engagement provider, learning sustainment company</w:t>
            </w:r>
          </w:p>
        </w:tc>
      </w:tr>
    </w:tbl>
    <w:p/>
    <w:p>
      <w:r>
        <w:rPr>
          <w:b/>
          <w:color w:val="2D2F6B"/>
          <w:sz w:val="36"/>
        </w:rPr>
        <w:t>PAGE FLOW OVERVIEW</w:t>
      </w:r>
    </w:p>
    <w:p>
      <w:r>
        <w:rPr>
          <w:color w:val="8A8C9A"/>
          <w:sz w:val="20"/>
        </w:rPr>
        <w:t>0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bl>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Managed Training Services / Learning Engagement &amp; Sustainment</w:t>
      </w:r>
    </w:p>
    <w:p>
      <w:pPr>
        <w:spacing w:before="40" w:after="80"/>
        <w:ind w:left="283"/>
      </w:pPr>
      <w:r>
        <w:rPr>
          <w:b w:val="0"/>
          <w:i w:val="0"/>
          <w:color w:val="5C5E6E"/>
          <w:sz w:val="20"/>
        </w:rPr>
      </w:r>
      <w:r>
        <w:rPr>
          <w:b/>
          <w:i w:val="0"/>
          <w:color w:val="1A1A2E"/>
          <w:sz w:val="20"/>
        </w:rPr>
        <w:t>BADGE</w:t>
      </w:r>
      <w:r>
        <w:rPr>
          <w:b w:val="0"/>
          <w:i w:val="0"/>
          <w:color w:val="5C5E6E"/>
          <w:sz w:val="20"/>
        </w:rPr>
        <w:t xml:space="preserve"> Managed Training Services -- Enterprise Practice</w:t>
      </w:r>
    </w:p>
    <w:p>
      <w:pPr>
        <w:spacing w:before="200" w:after="40"/>
      </w:pPr>
      <w:r>
        <w:rPr>
          <w:b/>
          <w:caps/>
          <w:color w:val="2D2F6B"/>
          <w:sz w:val="18"/>
        </w:rPr>
        <w:t xml:space="preserve"> Learning Engagement &amp; Sustainment Consulting </w:t>
      </w:r>
    </w:p>
    <w:p>
      <w:pPr>
        <w:spacing w:before="40" w:after="80"/>
        <w:ind w:left="283"/>
      </w:pPr>
      <w:r>
        <w:rPr>
          <w:b w:val="0"/>
          <w:i w:val="0"/>
          <w:color w:val="5C5E6E"/>
          <w:sz w:val="20"/>
        </w:rPr>
        <w:t>Partner with Edstellar to build the engagement strategies, reinforcement systems, and sustainment frameworks that make every training investment stick. Our learning engagement and sustainment consulting practice helps enterprises defeat the forgetting curve, embed spaced reinforcement into every learning journey, and transform one-time training events into sustained behavior change -- so skills learned are skills applied on the job, every day. As a trusted learning engagement firm and training sustainment consulting provider, we deliver knowledge retention solutions that convert classroom hours into lasting workplace capability.</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Spaced reinforcement programs proven to boost knowledge retention by up to 170%</w:t>
      </w:r>
    </w:p>
    <w:p>
      <w:pPr>
        <w:pStyle w:val="ListBullet"/>
        <w:spacing w:before="20" w:after="20"/>
        <w:ind w:left="850"/>
      </w:pPr>
      <w:r>
        <w:rPr>
          <w:color w:val="5C5E6E"/>
          <w:sz w:val="20"/>
        </w:rPr>
        <w:t>Manager-led sustainment coaching deployed across 30+ industries</w:t>
      </w:r>
    </w:p>
    <w:p>
      <w:pPr>
        <w:pStyle w:val="ListBullet"/>
        <w:spacing w:before="20" w:after="20"/>
        <w:ind w:left="850"/>
      </w:pPr>
      <w:r>
        <w:rPr>
          <w:color w:val="5C5E6E"/>
          <w:sz w:val="20"/>
        </w:rPr>
        <w:t>Microlearning and nudge architectures that sustain learning in the flow of work</w:t>
      </w:r>
    </w:p>
    <w:p>
      <w:pPr>
        <w:spacing w:before="80" w:after="40"/>
        <w:ind w:left="283"/>
      </w:pPr>
      <w:r>
        <w:rPr>
          <w:b/>
          <w:color w:val="1A2600"/>
          <w:sz w:val="18"/>
        </w:rPr>
        <w:t xml:space="preserve">[PRIMARY CTA] </w:t>
      </w:r>
      <w:r>
        <w:rPr>
          <w:b/>
          <w:color w:val="1A1A2E"/>
          <w:sz w:val="20"/>
        </w:rPr>
        <w:t>Talk to an Engagement &amp; Sustainment Consultant</w:t>
      </w:r>
    </w:p>
    <w:p>
      <w:pPr>
        <w:spacing w:before="80" w:after="40"/>
        <w:ind w:left="283"/>
      </w:pPr>
      <w:r>
        <w:rPr>
          <w:b/>
          <w:color w:val="1A2600"/>
          <w:sz w:val="18"/>
        </w:rPr>
        <w:t xml:space="preserve">[SECONDARY CTA] </w:t>
      </w:r>
      <w:r>
        <w:rPr>
          <w:b/>
          <w:color w:val="1A1A2E"/>
          <w:sz w:val="20"/>
        </w:rPr>
        <w:t>Download the Learning Sustainment Readiness Scorecard</w:t>
      </w:r>
    </w:p>
    <w:p>
      <w:pPr>
        <w:spacing w:before="120" w:after="80"/>
        <w:ind w:left="283"/>
      </w:pPr>
      <w:r>
        <w:rPr>
          <w:b/>
          <w:color w:val="7B93DB"/>
          <w:sz w:val="18"/>
        </w:rPr>
        <w:t xml:space="preserve">[IMAGE] </w:t>
      </w:r>
      <w:r>
        <w:rPr>
          <w:i/>
          <w:color w:val="8A8C9A"/>
          <w:sz w:val="18"/>
        </w:rPr>
        <w:t>Professional setting -- employees engaged in collaborative learning session, with mobile devices showing micro-reinforcement modules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Is Learning Engagement &amp; Sustainment?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Is Learning Engagement &amp; Sustainment? </w:t>
      </w:r>
    </w:p>
    <w:p>
      <w:pPr>
        <w:spacing w:before="40" w:after="80"/>
        <w:ind w:left="283"/>
      </w:pPr>
      <w:r>
        <w:rPr>
          <w:b w:val="0"/>
          <w:i w:val="0"/>
          <w:color w:val="5C5E6E"/>
          <w:sz w:val="20"/>
        </w:rPr>
        <w:t xml:space="preserve">Learning engagement and sustainment is an integrated consulting discipline that helps organizations maximize the impact of their training investments by ensuring learners are genuinely engaged during the learning experience and retain and apply what they learned long after the training event ends. </w:t>
      </w:r>
      <w:r>
        <w:rPr>
          <w:b/>
          <w:i w:val="0"/>
          <w:color w:val="1A1A2E"/>
          <w:sz w:val="20"/>
        </w:rPr>
        <w:t>Learning engagement</w:t>
      </w:r>
      <w:r>
        <w:rPr>
          <w:b w:val="0"/>
          <w:i w:val="0"/>
          <w:color w:val="5C5E6E"/>
          <w:sz w:val="20"/>
        </w:rPr>
        <w:t xml:space="preserve"> encompasses the strategies, design principles, and environmental conditions that capture and maintain learner attention, motivation, and active participation throughout the learning journey -- from pre-work and live sessions to on-the-job application. </w:t>
      </w:r>
      <w:r>
        <w:rPr>
          <w:b/>
          <w:i w:val="0"/>
          <w:color w:val="1A1A2E"/>
          <w:sz w:val="20"/>
        </w:rPr>
        <w:t>Learning sustainment</w:t>
      </w:r>
      <w:r>
        <w:rPr>
          <w:b w:val="0"/>
          <w:i w:val="0"/>
          <w:color w:val="5C5E6E"/>
          <w:sz w:val="20"/>
        </w:rPr>
        <w:t xml:space="preserve"> addresses the critical period after training delivery, applying evidence-based reinforcement techniques -- spaced repetition, retrieval practice, microlearning nudges, manager coaching, and peer accountability -- to move knowledge from short-term memory into long-term retention and sustained workplace behavior. Together, engagement and sustainment close the gap between what employees learn in a classroom or virtual session and what they actually do on the job. Without engagement, learners never fully absorb the content. Without sustainment, even the best-absorbed content fades within days. Edstellar's learning engagement and sustainment consulting services address both sides of this equation, creating closed-loop learning ecosystems where engagement drives initial absorption, and reinforcement converts absorption into lasting capability. Organizations seeking a learning engagement company or learning sustainment provider find in Edstellar a partner that integrates both disciplines into a single, evidence-based framework for training reinforcement consulting.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Training Doesn't Stick</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The Challenge: Why 90% of Training Investment Evaporates </w:t>
      </w:r>
    </w:p>
    <w:p>
      <w:pPr>
        <w:spacing w:before="40" w:after="80"/>
        <w:ind w:left="283"/>
      </w:pPr>
      <w:r>
        <w:rPr>
          <w:b w:val="0"/>
          <w:i w:val="0"/>
          <w:color w:val="5C5E6E"/>
          <w:sz w:val="20"/>
        </w:rPr>
        <w:t>Most enterprises invest heavily in learning and development -- yet research shows that learners forget up to 70% of new information within 24 hours and 90% within a week without structured reinforcement. The forgetting curve, first described by Hermann Ebbinghaus, is not a theory -- it is a measurable, predictable phenomenon that erodes training ROI across every industry, every program, and every learner population. Without a dedicated knowledge retention consulting partner, organizations continue to lose their training spend to predictable cognitive decay.</w:t>
      </w:r>
    </w:p>
    <w:p>
      <w:pPr>
        <w:spacing w:before="40" w:after="80"/>
        <w:ind w:left="283"/>
      </w:pPr>
      <w:r>
        <w:rPr>
          <w:b w:val="0"/>
          <w:i w:val="0"/>
          <w:color w:val="5C5E6E"/>
          <w:sz w:val="20"/>
        </w:rPr>
      </w:r>
      <w:r>
        <w:rPr>
          <w:b/>
          <w:i w:val="0"/>
          <w:color w:val="1A1A2E"/>
          <w:sz w:val="20"/>
        </w:rPr>
        <w:t>CHALLENGE 1: The Forgetting Curve Erases Training ROI</w:t>
      </w:r>
      <w:r>
        <w:rPr>
          <w:b w:val="0"/>
          <w:i w:val="0"/>
          <w:color w:val="5C5E6E"/>
          <w:sz w:val="20"/>
        </w:rPr>
        <w:t xml:space="preserve"> *Icon: Declining memory graph* Within one hour of completing a training session, learners have already forgotten approximately 50% of the material. Within 24 hours, 70% is gone. By the end of one week, retention drops below 10%. Organizations spend an average of $1,252 per employee per year on training, yet without reinforcement, the majority of that investment is functionally wasted before learners return to their desks. Post-training reinforcement consulting addresses this decay with evidence-based intervention strategies.</w:t>
      </w:r>
    </w:p>
    <w:p>
      <w:pPr>
        <w:spacing w:before="200" w:after="40"/>
      </w:pPr>
      <w:r>
        <w:rPr>
          <w:b/>
          <w:caps/>
          <w:color w:val="2D2F6B"/>
          <w:sz w:val="18"/>
        </w:rPr>
        <w:t xml:space="preserve"> Impact tag </w:t>
      </w:r>
    </w:p>
    <w:p>
      <w:pPr>
        <w:spacing w:before="40" w:after="80"/>
        <w:ind w:left="283"/>
      </w:pPr>
      <w:r>
        <w:rPr>
          <w:b w:val="0"/>
          <w:i w:val="0"/>
          <w:color w:val="5C5E6E"/>
          <w:sz w:val="20"/>
        </w:rPr>
        <w:t>Up to 90% of training content forgotten within one week without reinforcement</w:t>
      </w:r>
    </w:p>
    <w:p>
      <w:pPr>
        <w:spacing w:before="40" w:after="80"/>
        <w:ind w:left="283"/>
      </w:pPr>
      <w:r>
        <w:rPr>
          <w:b w:val="0"/>
          <w:i w:val="0"/>
          <w:color w:val="5C5E6E"/>
          <w:sz w:val="20"/>
        </w:rPr>
      </w:r>
      <w:r>
        <w:rPr>
          <w:b/>
          <w:i w:val="0"/>
          <w:color w:val="1A1A2E"/>
          <w:sz w:val="20"/>
        </w:rPr>
        <w:t>CHALLENGE 2: Training Events Treated as One-Time Transfers</w:t>
      </w:r>
      <w:r>
        <w:rPr>
          <w:b w:val="0"/>
          <w:i w:val="0"/>
          <w:color w:val="5C5E6E"/>
          <w:sz w:val="20"/>
        </w:rPr>
        <w:t xml:space="preserve"> *Icon: Calendar with single checkmark* Most learning programs are designed as isolated events -- a two-day workshop, a four-hour virtual session, a completed e-learning module. Once the event ends, there is no structured follow-up, no reinforcement cadence, and no mechanism to verify whether learners are applying new skills on the job. The assumption that a single learning event produces lasting behavior change contradicts decades of cognitive science research. Training reinforcement services bridge this gap by building structured post-training sustainment into every program.</w:t>
      </w:r>
    </w:p>
    <w:p>
      <w:pPr>
        <w:spacing w:before="200" w:after="40"/>
      </w:pPr>
      <w:r>
        <w:rPr>
          <w:b/>
          <w:caps/>
          <w:color w:val="2D2F6B"/>
          <w:sz w:val="18"/>
        </w:rPr>
        <w:t xml:space="preserve"> Impact tag </w:t>
      </w:r>
    </w:p>
    <w:p>
      <w:pPr>
        <w:spacing w:before="40" w:after="80"/>
        <w:ind w:left="283"/>
      </w:pPr>
      <w:r>
        <w:rPr>
          <w:b w:val="0"/>
          <w:i w:val="0"/>
          <w:color w:val="5C5E6E"/>
          <w:sz w:val="20"/>
        </w:rPr>
        <w:t>Only 15% of employees apply what they learn in training to their actual job functions</w:t>
      </w:r>
    </w:p>
    <w:p>
      <w:pPr>
        <w:spacing w:before="40" w:after="80"/>
        <w:ind w:left="283"/>
      </w:pPr>
      <w:r>
        <w:rPr>
          <w:b w:val="0"/>
          <w:i w:val="0"/>
          <w:color w:val="5C5E6E"/>
          <w:sz w:val="20"/>
        </w:rPr>
      </w:r>
      <w:r>
        <w:rPr>
          <w:b/>
          <w:i w:val="0"/>
          <w:color w:val="1A1A2E"/>
          <w:sz w:val="20"/>
        </w:rPr>
        <w:t>CHALLENGE 3: Low Learner Engagement During Training</w:t>
      </w:r>
      <w:r>
        <w:rPr>
          <w:b w:val="0"/>
          <w:i w:val="0"/>
          <w:color w:val="5C5E6E"/>
          <w:sz w:val="20"/>
        </w:rPr>
        <w:t xml:space="preserve"> *Icon: Disengaged person at screen* Disengagement during training is pervasive. Only 23% of employees worldwide feel engaged with their work, and that disengagement extends directly into learning experiences. Passive lecture formats, irrelevant content, and one-size-fits-all delivery produce compliance completions but not genuine learning. When learners are not engaged, initial knowledge encoding is weak -- making post-training retention even more difficult. A learner engagement consulting approach redesigns experiences to capture genuine attention and build the motivational architecture that drives deep knowledge encoding.</w:t>
      </w:r>
    </w:p>
    <w:p>
      <w:pPr>
        <w:spacing w:before="200" w:after="40"/>
      </w:pPr>
      <w:r>
        <w:rPr>
          <w:b/>
          <w:caps/>
          <w:color w:val="2D2F6B"/>
          <w:sz w:val="18"/>
        </w:rPr>
        <w:t xml:space="preserve"> Impact tag </w:t>
      </w:r>
    </w:p>
    <w:p>
      <w:pPr>
        <w:spacing w:before="40" w:after="80"/>
        <w:ind w:left="283"/>
      </w:pPr>
      <w:r>
        <w:rPr>
          <w:b w:val="0"/>
          <w:i w:val="0"/>
          <w:color w:val="5C5E6E"/>
          <w:sz w:val="20"/>
        </w:rPr>
        <w:t>77% of employees globally report feeling disengaged at work</w:t>
      </w:r>
    </w:p>
    <w:p>
      <w:pPr>
        <w:spacing w:before="40" w:after="80"/>
        <w:ind w:left="283"/>
      </w:pPr>
      <w:r>
        <w:rPr>
          <w:b w:val="0"/>
          <w:i w:val="0"/>
          <w:color w:val="5C5E6E"/>
          <w:sz w:val="20"/>
        </w:rPr>
      </w:r>
      <w:r>
        <w:rPr>
          <w:b/>
          <w:i w:val="0"/>
          <w:color w:val="1A1A2E"/>
          <w:sz w:val="20"/>
        </w:rPr>
        <w:t>CHALLENGE 4: Managers Are Not Equipped to Reinforce Learning</w:t>
      </w:r>
      <w:r>
        <w:rPr>
          <w:b w:val="0"/>
          <w:i w:val="0"/>
          <w:color w:val="5C5E6E"/>
          <w:sz w:val="20"/>
        </w:rPr>
        <w:t xml:space="preserve"> *Icon: Manager with question marks* Front-line managers are the single most powerful lever for post-training sustainment. When managers actively coach, question, and reinforce new skills, retention rates increase dramatically. Yet most organizations provide no sustainment tools, conversation guides, or coaching frameworks to managers. The result is a reinforcement vacuum -- learners return to the workplace and revert to old habits because no one holds them accountable for applying new skills.</w:t>
      </w:r>
    </w:p>
    <w:p>
      <w:pPr>
        <w:spacing w:before="200" w:after="40"/>
      </w:pPr>
      <w:r>
        <w:rPr>
          <w:b/>
          <w:caps/>
          <w:color w:val="2D2F6B"/>
          <w:sz w:val="18"/>
        </w:rPr>
        <w:t xml:space="preserve"> Impact tag </w:t>
      </w:r>
    </w:p>
    <w:p>
      <w:pPr>
        <w:spacing w:before="40" w:after="80"/>
        <w:ind w:left="283"/>
      </w:pPr>
      <w:r>
        <w:rPr>
          <w:b w:val="0"/>
          <w:i w:val="0"/>
          <w:color w:val="5C5E6E"/>
          <w:sz w:val="20"/>
        </w:rPr>
        <w:t>Employees with manager reinforcement show 16% higher performance (HBR)</w:t>
      </w:r>
    </w:p>
    <w:p>
      <w:pPr>
        <w:spacing w:before="40" w:after="80"/>
        <w:ind w:left="283"/>
      </w:pPr>
      <w:r>
        <w:rPr>
          <w:b w:val="0"/>
          <w:i w:val="0"/>
          <w:color w:val="5C5E6E"/>
          <w:sz w:val="20"/>
        </w:rPr>
      </w:r>
      <w:r>
        <w:rPr>
          <w:b/>
          <w:i w:val="0"/>
          <w:color w:val="1A1A2E"/>
          <w:sz w:val="20"/>
        </w:rPr>
        <w:t>CHALLENGE 5: No Measurement of Post-Training Retention</w:t>
      </w:r>
      <w:r>
        <w:rPr>
          <w:b w:val="0"/>
          <w:i w:val="0"/>
          <w:color w:val="5C5E6E"/>
          <w:sz w:val="20"/>
        </w:rPr>
        <w:t xml:space="preserve"> *Icon: Broken analytics chain* Most organizations measure training at Level 1 (satisfaction surveys) and never progress to measuring actual knowledge retention, behavior change, or on-the-job application. Without retention measurement, there is no way to know whether training is sticking, which topics are decaying fastest, or where reinforcement efforts should be focused. Organizations are flying blind between the training event and the next performance review cycle. Knowledge retention services include measurement frameworks that close this visibility gap.</w:t>
      </w:r>
    </w:p>
    <w:p>
      <w:pPr>
        <w:spacing w:before="200" w:after="40"/>
      </w:pPr>
      <w:r>
        <w:rPr>
          <w:b/>
          <w:caps/>
          <w:color w:val="2D2F6B"/>
          <w:sz w:val="18"/>
        </w:rPr>
        <w:t xml:space="preserve"> Impact tag </w:t>
      </w:r>
    </w:p>
    <w:p>
      <w:pPr>
        <w:spacing w:before="40" w:after="80"/>
        <w:ind w:left="283"/>
      </w:pPr>
      <w:r>
        <w:rPr>
          <w:b w:val="0"/>
          <w:i w:val="0"/>
          <w:color w:val="5C5E6E"/>
          <w:sz w:val="20"/>
        </w:rPr>
        <w:t>92% of organizations do not measure knowledge retention after training</w:t>
      </w:r>
    </w:p>
    <w:p>
      <w:pPr>
        <w:spacing w:before="40" w:after="80"/>
        <w:ind w:left="283"/>
      </w:pPr>
      <w:r>
        <w:rPr>
          <w:b w:val="0"/>
          <w:i w:val="0"/>
          <w:color w:val="5C5E6E"/>
          <w:sz w:val="20"/>
        </w:rPr>
      </w:r>
      <w:r>
        <w:rPr>
          <w:b/>
          <w:i w:val="0"/>
          <w:color w:val="1A1A2E"/>
          <w:sz w:val="20"/>
        </w:rPr>
        <w:t>CHALLENGE 6: Microlearning and Reinforcement Are Bolt-On Afterthoughts</w:t>
      </w:r>
      <w:r>
        <w:rPr>
          <w:b w:val="0"/>
          <w:i w:val="0"/>
          <w:color w:val="5C5E6E"/>
          <w:sz w:val="20"/>
        </w:rPr>
        <w:t xml:space="preserve"> *Icon: Puzzle piece not fitting* When organizations do attempt reinforcement, it is often a disconnected afterthought -- a generic email reminder, a link to a resource library, or a recycled quiz. Effective sustainment requires intentional design: spaced intervals based on cognitive science, scenario-based retrieval practice, adaptive difficulty, and integration into the learner's daily workflow. Bolt-on reinforcement fails because it is not architecturally connected to the original learning objectives. Learning sustainment solutions require purpose-built architectures, not add-on features.</w:t>
      </w:r>
    </w:p>
    <w:p>
      <w:pPr>
        <w:spacing w:before="200" w:after="40"/>
      </w:pPr>
      <w:r>
        <w:rPr>
          <w:b/>
          <w:caps/>
          <w:color w:val="2D2F6B"/>
          <w:sz w:val="18"/>
        </w:rPr>
        <w:t xml:space="preserve"> Impact tag </w:t>
      </w:r>
    </w:p>
    <w:p>
      <w:pPr>
        <w:spacing w:before="40" w:after="80"/>
        <w:ind w:left="283"/>
      </w:pPr>
      <w:r>
        <w:rPr>
          <w:b w:val="0"/>
          <w:i w:val="0"/>
          <w:color w:val="5C5E6E"/>
          <w:sz w:val="20"/>
        </w:rPr>
        <w:t>Gamified and spaced reinforcement boosts completion rates to 90% vs. 25% for standard follow-ups</w:t>
      </w:r>
    </w:p>
    <w:p>
      <w:pPr>
        <w:spacing w:before="80" w:after="40"/>
        <w:ind w:left="283"/>
      </w:pPr>
      <w:r>
        <w:rPr>
          <w:b/>
          <w:color w:val="1A2600"/>
          <w:sz w:val="18"/>
        </w:rPr>
        <w:t xml:space="preserve">[BOTTOM CTA] </w:t>
      </w:r>
      <w:r>
        <w:rPr>
          <w:b/>
          <w:color w:val="1A1A2E"/>
          <w:sz w:val="20"/>
        </w:rPr>
        <w:t>Stop losing your training investment to the forgetting curve. Talk to a Sustainment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90%</w:t>
      </w:r>
    </w:p>
    <w:p>
      <w:pPr>
        <w:spacing w:before="40" w:after="80"/>
        <w:ind w:left="283"/>
      </w:pPr>
      <w:r>
        <w:rPr>
          <w:b w:val="0"/>
          <w:i w:val="0"/>
          <w:color w:val="5C5E6E"/>
          <w:sz w:val="20"/>
        </w:rPr>
        <w:t>of training content is forgotten within one week without structured reinforcement *Source: Ebbinghaus Forgetting Curve Research*</w:t>
      </w:r>
    </w:p>
    <w:p>
      <w:pPr>
        <w:spacing w:before="200" w:after="40"/>
      </w:pPr>
      <w:r>
        <w:rPr>
          <w:b/>
          <w:caps/>
          <w:color w:val="2D2F6B"/>
          <w:sz w:val="18"/>
        </w:rPr>
        <w:t xml:space="preserve"> STAT 2 </w:t>
      </w:r>
    </w:p>
    <w:p>
      <w:pPr>
        <w:spacing w:before="40" w:after="80"/>
        <w:ind w:left="283"/>
      </w:pPr>
      <w:r>
        <w:rPr>
          <w:b/>
          <w:i w:val="0"/>
          <w:color w:val="2D2F6B"/>
          <w:sz w:val="20"/>
        </w:rPr>
        <w:t>170%</w:t>
      </w:r>
    </w:p>
    <w:p>
      <w:pPr>
        <w:spacing w:before="40" w:after="80"/>
        <w:ind w:left="283"/>
      </w:pPr>
      <w:r>
        <w:rPr>
          <w:b w:val="0"/>
          <w:i w:val="0"/>
          <w:color w:val="5C5E6E"/>
          <w:sz w:val="20"/>
        </w:rPr>
        <w:t>increase in knowledge retention achieved through spaced reinforcement programs *Source: Qstream / Harvard Medical School Clinical Trials*</w:t>
      </w:r>
    </w:p>
    <w:p>
      <w:pPr>
        <w:spacing w:before="200" w:after="40"/>
      </w:pPr>
      <w:r>
        <w:rPr>
          <w:b/>
          <w:caps/>
          <w:color w:val="2D2F6B"/>
          <w:sz w:val="18"/>
        </w:rPr>
        <w:t xml:space="preserve"> STAT 3 </w:t>
      </w:r>
    </w:p>
    <w:p>
      <w:pPr>
        <w:spacing w:before="40" w:after="80"/>
        <w:ind w:left="283"/>
      </w:pPr>
      <w:r>
        <w:rPr>
          <w:b/>
          <w:i w:val="0"/>
          <w:color w:val="2D2F6B"/>
          <w:sz w:val="20"/>
        </w:rPr>
        <w:t>$102.8B</w:t>
      </w:r>
    </w:p>
    <w:p>
      <w:pPr>
        <w:spacing w:before="40" w:after="80"/>
        <w:ind w:left="283"/>
      </w:pPr>
      <w:r>
        <w:rPr>
          <w:b w:val="0"/>
          <w:i w:val="0"/>
          <w:color w:val="5C5E6E"/>
          <w:sz w:val="20"/>
        </w:rPr>
        <w:t>spent on corporate training annually -- most without any post-training sustainment strategy *Source: Training Magazine 2025*</w:t>
      </w:r>
    </w:p>
    <w:p>
      <w:pPr>
        <w:spacing w:before="200" w:after="40"/>
      </w:pPr>
      <w:r>
        <w:rPr>
          <w:b/>
          <w:caps/>
          <w:color w:val="2D2F6B"/>
          <w:sz w:val="18"/>
        </w:rPr>
        <w:t xml:space="preserve"> STAT 4 </w:t>
      </w:r>
    </w:p>
    <w:p>
      <w:pPr>
        <w:spacing w:before="40" w:after="80"/>
        <w:ind w:left="283"/>
      </w:pPr>
      <w:r>
        <w:rPr>
          <w:b/>
          <w:i w:val="0"/>
          <w:color w:val="2D2F6B"/>
          <w:sz w:val="20"/>
        </w:rPr>
        <w:t>16%</w:t>
      </w:r>
    </w:p>
    <w:p>
      <w:pPr>
        <w:spacing w:before="40" w:after="80"/>
        <w:ind w:left="283"/>
      </w:pPr>
      <w:r>
        <w:rPr>
          <w:b w:val="0"/>
          <w:i w:val="0"/>
          <w:color w:val="5C5E6E"/>
          <w:sz w:val="20"/>
        </w:rPr>
        <w:t>higher performance demonstrated by employees who receive manager-led post-training reinforcement *Source: Harvard Business Review*</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Engage. Reinforce. Sustain. The Three Pillars of Learning That Lasts. </w:t>
      </w:r>
    </w:p>
    <w:p>
      <w:pPr>
        <w:spacing w:before="40" w:after="80"/>
        <w:ind w:left="283"/>
      </w:pPr>
      <w:r>
        <w:rPr>
          <w:b w:val="0"/>
          <w:i w:val="0"/>
          <w:color w:val="5C5E6E"/>
          <w:sz w:val="20"/>
        </w:rPr>
        <w:t>Effective learning organizations do not just deliver training -- they design for engagement from the start, reinforce systematically after every learning event, and sustain new behaviors until they become habits. Edstellar's integrated learning engagement and sustainment consulting approach connects all three pillars so your training investment produces lasting capability, not temporary knowledge.</w:t>
      </w:r>
    </w:p>
    <w:p>
      <w:pPr>
        <w:spacing w:before="40" w:after="80"/>
        <w:ind w:left="283"/>
      </w:pPr>
      <w:r>
        <w:rPr>
          <w:b w:val="0"/>
          <w:i w:val="0"/>
          <w:color w:val="5C5E6E"/>
          <w:sz w:val="20"/>
        </w:rPr>
      </w:r>
      <w:r>
        <w:rPr>
          <w:b/>
          <w:i w:val="0"/>
          <w:color w:val="1A1A2E"/>
          <w:sz w:val="20"/>
        </w:rPr>
        <w:t>PILLAR 1: Learning Engagement</w:t>
      </w:r>
      <w:r>
        <w:rPr>
          <w:b w:val="0"/>
          <w:i w:val="0"/>
          <w:color w:val="5C5E6E"/>
          <w:sz w:val="20"/>
        </w:rPr>
        <w:t xml:space="preserve"> *Icon: Lightbulb with pulse line* Design learning experiences that capture and maintain genuine learner attention, motivation, and active participation. From gamification and scenario-based practice to personalized learning paths and social collaboration, our learning engagement services ensure learners deeply encode new knowledge from the very first interaction.</w:t>
      </w:r>
    </w:p>
    <w:p>
      <w:pPr>
        <w:spacing w:before="40" w:after="80"/>
        <w:ind w:left="283"/>
      </w:pPr>
      <w:r>
        <w:rPr>
          <w:b w:val="0"/>
          <w:i w:val="0"/>
          <w:color w:val="5C5E6E"/>
          <w:sz w:val="20"/>
        </w:rPr>
      </w:r>
      <w:r>
        <w:rPr>
          <w:b/>
          <w:i w:val="0"/>
          <w:color w:val="1A1A2E"/>
          <w:sz w:val="20"/>
        </w:rPr>
        <w:t>PILLAR 2: Spaced Reinforcement</w:t>
      </w:r>
      <w:r>
        <w:rPr>
          <w:b w:val="0"/>
          <w:i w:val="0"/>
          <w:color w:val="5C5E6E"/>
          <w:sz w:val="20"/>
        </w:rPr>
        <w:t xml:space="preserve"> *Icon: Calendar with repeating intervals* Apply evidence-based reinforcement techniques -- spaced repetition, retrieval practice, microlearning nudges, and adaptive questioning -- at scientifically optimized intervals to move knowledge from short-term memory into long-term retention. Our training reinforcement consulting defeats the forgetting curve by design, not by accident.</w:t>
      </w:r>
    </w:p>
    <w:p>
      <w:pPr>
        <w:spacing w:before="40" w:after="80"/>
        <w:ind w:left="283"/>
      </w:pPr>
      <w:r>
        <w:rPr>
          <w:b w:val="0"/>
          <w:i w:val="0"/>
          <w:color w:val="5C5E6E"/>
          <w:sz w:val="20"/>
        </w:rPr>
      </w:r>
      <w:r>
        <w:rPr>
          <w:b/>
          <w:i w:val="0"/>
          <w:color w:val="1A1A2E"/>
          <w:sz w:val="20"/>
        </w:rPr>
        <w:t>PILLAR 3: Behavioral Sustainment</w:t>
      </w:r>
      <w:r>
        <w:rPr>
          <w:b w:val="0"/>
          <w:i w:val="0"/>
          <w:color w:val="5C5E6E"/>
          <w:sz w:val="20"/>
        </w:rPr>
        <w:t xml:space="preserve"> *Icon: Shield with upward trend arrow* Embed new skills into daily work routines through manager coaching, peer accountability, performance support tools, and on-the-job application checkpoints. Sustainment bridges the gap between knowing and doing, ensuring learned skills become sustained workplace behaviors that drive business outcomes. As a learning sustainment company, we build the systems that make behavior change permanent.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Learning Engagement &amp; Sustainment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Learning Engagement &amp; Sustainment Consulting Services </w:t>
      </w:r>
    </w:p>
    <w:p>
      <w:pPr>
        <w:spacing w:before="40" w:after="80"/>
        <w:ind w:left="283"/>
      </w:pPr>
      <w:r>
        <w:rPr>
          <w:b w:val="0"/>
          <w:i w:val="0"/>
          <w:color w:val="5C5E6E"/>
          <w:sz w:val="20"/>
        </w:rPr>
        <w:t>Edstellar delivers six integrated learning engagement and sustainment services that take organizations from forgotten training to sustained behavior change. Each service can be engaged independently or as part of a comprehensive engagement and sustainment transformation. As a full-spectrum learning engagement provider, we cover every stage from initial engagement design through long-term retention measurement.</w:t>
      </w:r>
    </w:p>
    <w:p>
      <w:pPr>
        <w:spacing w:before="40" w:after="80"/>
        <w:ind w:left="283"/>
      </w:pPr>
      <w:r>
        <w:rPr>
          <w:b w:val="0"/>
          <w:i w:val="0"/>
          <w:color w:val="5C5E6E"/>
          <w:sz w:val="20"/>
        </w:rPr>
      </w:r>
      <w:r>
        <w:rPr>
          <w:b/>
          <w:i w:val="0"/>
          <w:color w:val="1A1A2E"/>
          <w:sz w:val="20"/>
        </w:rPr>
        <w:t>SERVICE 1: Learner Engagement Strategy &amp; Design</w:t>
      </w:r>
      <w:r>
        <w:rPr>
          <w:b w:val="0"/>
          <w:i w:val="0"/>
          <w:color w:val="5C5E6E"/>
          <w:sz w:val="20"/>
        </w:rPr>
        <w:t xml:space="preserve"> Design learning experiences that maximize engagement from pre-work through application. We architect motivation systems, gamification frameworks, personalized pathways, and social learning structures that ensure learners are actively invested in every moment of the learning journey. *Features:* Engagement architecture, Motivation design, Gamification frameworks, Personalized learning paths</w:t>
      </w:r>
    </w:p>
    <w:p>
      <w:pPr>
        <w:spacing w:before="40" w:after="80"/>
        <w:ind w:left="283"/>
      </w:pPr>
      <w:r>
        <w:rPr>
          <w:b w:val="0"/>
          <w:i w:val="0"/>
          <w:color w:val="5C5E6E"/>
          <w:sz w:val="20"/>
        </w:rPr>
      </w:r>
      <w:r>
        <w:rPr>
          <w:b/>
          <w:i w:val="0"/>
          <w:color w:val="1A1A2E"/>
          <w:sz w:val="20"/>
        </w:rPr>
        <w:t>SERVICE 2: Spaced Reinforcement Program Design</w:t>
      </w:r>
      <w:r>
        <w:rPr>
          <w:b w:val="0"/>
          <w:i w:val="0"/>
          <w:color w:val="5C5E6E"/>
          <w:sz w:val="20"/>
        </w:rPr>
        <w:t xml:space="preserve"> Build scientifically grounded reinforcement programs that defeat the forgetting curve. We design spaced repetition schedules, retrieval practice sequences, confidence-based assessments, and adaptive reinforcement algorithms tailored to your content, audience, and business objectives. *Features:* Spaced repetition design, Retrieval practice, Confidence-based learning, Adaptive algorithms</w:t>
      </w:r>
    </w:p>
    <w:p>
      <w:pPr>
        <w:spacing w:before="40" w:after="80"/>
        <w:ind w:left="283"/>
      </w:pPr>
      <w:r>
        <w:rPr>
          <w:b w:val="0"/>
          <w:i w:val="0"/>
          <w:color w:val="5C5E6E"/>
          <w:sz w:val="20"/>
        </w:rPr>
      </w:r>
      <w:r>
        <w:rPr>
          <w:b/>
          <w:i w:val="0"/>
          <w:color w:val="1A1A2E"/>
          <w:sz w:val="20"/>
        </w:rPr>
        <w:t>SERVICE 3: Microlearning &amp; Nudge Architecture</w:t>
      </w:r>
      <w:r>
        <w:rPr>
          <w:b w:val="0"/>
          <w:i w:val="0"/>
          <w:color w:val="5C5E6E"/>
          <w:sz w:val="20"/>
        </w:rPr>
        <w:t xml:space="preserve"> Architect bite-sized reinforcement content and behavioral nudge systems delivered in the flow of work. From mobile micro-challenges and scenario-based questions to just-in-time performance support and daily knowledge bursts, we design reinforcement that fits into three minutes of a learner's day. *Features:* Microlearning content design, Nudge sequencing, Mobile delivery, Just-in-time performance support</w:t>
      </w:r>
    </w:p>
    <w:p>
      <w:pPr>
        <w:spacing w:before="40" w:after="80"/>
        <w:ind w:left="283"/>
      </w:pPr>
      <w:r>
        <w:rPr>
          <w:b w:val="0"/>
          <w:i w:val="0"/>
          <w:color w:val="5C5E6E"/>
          <w:sz w:val="20"/>
        </w:rPr>
      </w:r>
      <w:r>
        <w:rPr>
          <w:b/>
          <w:i w:val="0"/>
          <w:color w:val="1A1A2E"/>
          <w:sz w:val="20"/>
        </w:rPr>
        <w:t>SERVICE 4: Manager-Led Sustainment Coaching</w:t>
      </w:r>
      <w:r>
        <w:rPr>
          <w:b w:val="0"/>
          <w:i w:val="0"/>
          <w:color w:val="5C5E6E"/>
          <w:sz w:val="20"/>
        </w:rPr>
        <w:t xml:space="preserve"> Equip front-line managers with the tools, conversation guides, observation frameworks, and coaching cadences to become active reinforcement partners. Manager-led sustainment is the most powerful lever for post-training behavior change -- and the most neglected. *Features:* Coaching frameworks, Conversation guides, Observation checklists, Accountability cadences</w:t>
      </w:r>
    </w:p>
    <w:p>
      <w:pPr>
        <w:spacing w:before="40" w:after="80"/>
        <w:ind w:left="283"/>
      </w:pPr>
      <w:r>
        <w:rPr>
          <w:b w:val="0"/>
          <w:i w:val="0"/>
          <w:color w:val="5C5E6E"/>
          <w:sz w:val="20"/>
        </w:rPr>
      </w:r>
      <w:r>
        <w:rPr>
          <w:b/>
          <w:i w:val="0"/>
          <w:color w:val="1A1A2E"/>
          <w:sz w:val="20"/>
        </w:rPr>
        <w:t>SERVICE 5: Learning Community &amp; Peer Sustainment</w:t>
      </w:r>
      <w:r>
        <w:rPr>
          <w:b w:val="0"/>
          <w:i w:val="0"/>
          <w:color w:val="5C5E6E"/>
          <w:sz w:val="20"/>
        </w:rPr>
        <w:t xml:space="preserve"> Build peer accountability structures, learning communities of practice, cohort reinforcement programs, and social learning platforms that create self-sustaining reinforcement ecosystems where learners support, challenge, and hold each other accountable. *Features:* Community of practice design, Cohort programs, Peer accountability, Social learning platforms</w:t>
      </w:r>
    </w:p>
    <w:p>
      <w:pPr>
        <w:spacing w:before="40" w:after="80"/>
        <w:ind w:left="283"/>
      </w:pPr>
      <w:r>
        <w:rPr>
          <w:b w:val="0"/>
          <w:i w:val="0"/>
          <w:color w:val="5C5E6E"/>
          <w:sz w:val="20"/>
        </w:rPr>
      </w:r>
      <w:r>
        <w:rPr>
          <w:b/>
          <w:i w:val="0"/>
          <w:color w:val="1A1A2E"/>
          <w:sz w:val="20"/>
        </w:rPr>
        <w:t>SERVICE 6: Sustainment Analytics &amp; Retention Measurement</w:t>
      </w:r>
      <w:r>
        <w:rPr>
          <w:b w:val="0"/>
          <w:i w:val="0"/>
          <w:color w:val="5C5E6E"/>
          <w:sz w:val="20"/>
        </w:rPr>
        <w:t xml:space="preserve"> Deploy retention measurement systems that track knowledge decay, identify reinforcement gaps, verify behavior change, and prove the ROI of sustainment investments. From knowledge retention assessments to behavior observation protocols, our knowledge retention consulting makes sustainment measurable. *Features:* Retention measurement, Decay tracking, Behavior verification, Sustainment ROI analytics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 Learner Engagement Strategy &amp;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Learner Engagement Strategy &amp; Design </w:t>
      </w:r>
    </w:p>
    <w:p>
      <w:pPr>
        <w:spacing w:before="40" w:after="80"/>
        <w:ind w:left="283"/>
      </w:pPr>
      <w:r>
        <w:rPr>
          <w:b w:val="0"/>
          <w:i w:val="0"/>
          <w:color w:val="5C5E6E"/>
          <w:sz w:val="20"/>
        </w:rPr>
        <w:t>Engagement is not a feature of training -- it is the foundation upon which all retention and behavior change depends. Research shows that 91% of employees want personalized, relevant training, and 90% want training that is also engaging and fun. Yet most enterprise learning programs rely on passive content delivery that produces compliance completions, not genuine engagement. Edstellar's learner engagement consulting services design the motivational architecture, interactive experiences, and personalized pathways that ensure learners are actively invested from pre-work through on-the-job application.</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Engagement Architecture &amp; Motivation Design</w:t>
      </w:r>
      <w:r>
        <w:rPr>
          <w:b w:val="0"/>
          <w:i w:val="0"/>
          <w:color w:val="5C5E6E"/>
          <w:sz w:val="20"/>
        </w:rPr>
        <w:t xml:space="preserve"> We design the motivational systems that drive genuine learner investment -- intrinsic motivation frameworks based on autonomy, mastery, and purpose; extrinsic motivation layers including gamification, recognition, and competitive elements; and environmental conditions such as psychological safety, manager support, and time-to-learn policies. Every engagement architecture is customized to your organization's culture, workforce demographics, and learning maturity.</w:t>
      </w:r>
    </w:p>
    <w:p>
      <w:pPr>
        <w:spacing w:before="40" w:after="80"/>
        <w:ind w:left="283"/>
      </w:pPr>
      <w:r>
        <w:rPr>
          <w:b w:val="0"/>
          <w:i w:val="0"/>
          <w:color w:val="5C5E6E"/>
          <w:sz w:val="20"/>
        </w:rPr>
      </w:r>
      <w:r>
        <w:rPr>
          <w:b/>
          <w:i w:val="0"/>
          <w:color w:val="1A1A2E"/>
          <w:sz w:val="20"/>
        </w:rPr>
        <w:t>Gamification &amp; Interactive Experience Design</w:t>
      </w:r>
      <w:r>
        <w:rPr>
          <w:b w:val="0"/>
          <w:i w:val="0"/>
          <w:color w:val="5C5E6E"/>
          <w:sz w:val="20"/>
        </w:rPr>
        <w:t xml:space="preserve"> We design gamified learning experiences that boost engagement and completion rates to 90%, compared to just 25% for non-gamified training. This includes point systems, achievement badges, leaderboards, team challenges, simulation-based scenarios, branching decision paths, and narrative-driven learning journeys -- all grounded in behavioral science, not novelty.</w:t>
      </w:r>
    </w:p>
    <w:p>
      <w:pPr>
        <w:spacing w:before="40" w:after="80"/>
        <w:ind w:left="283"/>
      </w:pPr>
      <w:r>
        <w:rPr>
          <w:b w:val="0"/>
          <w:i w:val="0"/>
          <w:color w:val="5C5E6E"/>
          <w:sz w:val="20"/>
        </w:rPr>
      </w:r>
      <w:r>
        <w:rPr>
          <w:b/>
          <w:i w:val="0"/>
          <w:color w:val="1A1A2E"/>
          <w:sz w:val="20"/>
        </w:rPr>
        <w:t>Personalized Learning Pathways</w:t>
      </w:r>
      <w:r>
        <w:rPr>
          <w:b w:val="0"/>
          <w:i w:val="0"/>
          <w:color w:val="5C5E6E"/>
          <w:sz w:val="20"/>
        </w:rPr>
        <w:t xml:space="preserve"> One-size-fits-all training disengages learners who find content too basic or too advanced. We design adaptive learning pathways that assess each learner's current knowledge, role requirements, and learning preferences, then deliver a personalized sequence of content, assessments, and reinforcement activities. Self-paced learning has been shown to increase retention by 25-67%.</w:t>
      </w:r>
    </w:p>
    <w:p>
      <w:pPr>
        <w:spacing w:before="40" w:after="80"/>
        <w:ind w:left="283"/>
      </w:pPr>
      <w:r>
        <w:rPr>
          <w:b w:val="0"/>
          <w:i w:val="0"/>
          <w:color w:val="5C5E6E"/>
          <w:sz w:val="20"/>
        </w:rPr>
      </w:r>
      <w:r>
        <w:rPr>
          <w:b/>
          <w:i w:val="0"/>
          <w:color w:val="1A1A2E"/>
          <w:sz w:val="20"/>
        </w:rPr>
        <w:t>Social and Collaborative Learning Design</w:t>
      </w:r>
      <w:r>
        <w:rPr>
          <w:b w:val="0"/>
          <w:i w:val="0"/>
          <w:color w:val="5C5E6E"/>
          <w:sz w:val="20"/>
        </w:rPr>
        <w:t xml:space="preserve"> We architect social learning structures -- discussion forums, peer feedback loops, collaborative projects, and expert networks -- that leverage the power of social interaction to deepen engagement and knowledge construction. Learning is inherently social, and our designs harness that principle at scale.</w:t>
      </w:r>
    </w:p>
    <w:p>
      <w:pPr>
        <w:spacing w:before="200" w:after="40"/>
      </w:pPr>
      <w:r>
        <w:rPr>
          <w:b/>
          <w:caps/>
          <w:color w:val="2D2F6B"/>
          <w:sz w:val="18"/>
        </w:rPr>
        <w:t xml:space="preserve"> Sub-features (3 columns) </w:t>
      </w:r>
    </w:p>
    <w:p>
      <w:pPr>
        <w:pStyle w:val="ListBullet"/>
        <w:spacing w:before="20" w:after="20"/>
        <w:ind w:left="850"/>
      </w:pPr>
      <w:r>
        <w:rPr>
          <w:color w:val="5C5E6E"/>
          <w:sz w:val="20"/>
        </w:rPr>
        <w:t>Pre-work engagement sequences</w:t>
      </w:r>
    </w:p>
    <w:p>
      <w:pPr>
        <w:pStyle w:val="ListBullet"/>
        <w:spacing w:before="20" w:after="20"/>
        <w:ind w:left="850"/>
      </w:pPr>
      <w:r>
        <w:rPr>
          <w:color w:val="5C5E6E"/>
          <w:sz w:val="20"/>
        </w:rPr>
        <w:t>Scenario-based role-play design</w:t>
      </w:r>
    </w:p>
    <w:p>
      <w:pPr>
        <w:pStyle w:val="ListBullet"/>
        <w:spacing w:before="20" w:after="20"/>
        <w:ind w:left="850"/>
      </w:pPr>
      <w:r>
        <w:rPr>
          <w:color w:val="5C5E6E"/>
          <w:sz w:val="20"/>
        </w:rPr>
        <w:t>Multimedia content integration strategy</w:t>
      </w:r>
    </w:p>
    <w:p>
      <w:pPr>
        <w:pStyle w:val="ListBullet"/>
        <w:spacing w:before="20" w:after="20"/>
        <w:ind w:left="850"/>
      </w:pPr>
      <w:r>
        <w:rPr>
          <w:color w:val="5C5E6E"/>
          <w:sz w:val="20"/>
        </w:rPr>
        <w:t>Learner motivation assessments</w:t>
      </w:r>
    </w:p>
    <w:p>
      <w:pPr>
        <w:pStyle w:val="ListBullet"/>
        <w:spacing w:before="20" w:after="20"/>
        <w:ind w:left="850"/>
      </w:pPr>
      <w:r>
        <w:rPr>
          <w:color w:val="5C5E6E"/>
          <w:sz w:val="20"/>
        </w:rPr>
        <w:t>Recognition and reward program design</w:t>
      </w:r>
    </w:p>
    <w:p>
      <w:pPr>
        <w:pStyle w:val="ListBullet"/>
        <w:spacing w:before="20" w:after="20"/>
        <w:ind w:left="850"/>
      </w:pPr>
      <w:r>
        <w:rPr>
          <w:color w:val="5C5E6E"/>
          <w:sz w:val="20"/>
        </w:rPr>
        <w:t>Accessibility and inclusion in engagement design</w:t>
      </w:r>
    </w:p>
    <w:p>
      <w:pPr>
        <w:spacing w:before="120" w:after="80"/>
        <w:ind w:left="283"/>
      </w:pPr>
      <w:r>
        <w:rPr>
          <w:b/>
          <w:color w:val="7B93DB"/>
          <w:sz w:val="18"/>
        </w:rPr>
        <w:t xml:space="preserve">[IMAGE] </w:t>
      </w:r>
      <w:r>
        <w:rPr>
          <w:i/>
          <w:color w:val="8A8C9A"/>
          <w:sz w:val="18"/>
        </w:rPr>
        <w:t>Dynamic training environment -- diverse group of professionals engaged in interactive workshop with digital displays showing gamified progress dashboards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 Spaced Reinforcement Program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Spaced Reinforcement Program Design </w:t>
      </w:r>
    </w:p>
    <w:p>
      <w:pPr>
        <w:spacing w:before="40" w:after="80"/>
        <w:ind w:left="283"/>
      </w:pPr>
      <w:r>
        <w:rPr>
          <w:b w:val="0"/>
          <w:i w:val="0"/>
          <w:color w:val="5C5E6E"/>
          <w:sz w:val="20"/>
        </w:rPr>
        <w:t>The forgetting curve is predictable -- and so is the solution. Spaced reinforcement, grounded in over 140 years of cognitive science research since Ebbinghaus, is the most effective evidence-based method for moving knowledge from short-term to long-term memory. Clinical trials at Harvard Medical School have demonstrated that spaced reinforcement increases knowledge retention by up to 170%. Yet fewer than 10% of enterprise learning programs include a structured reinforcement component. Edstellar's post-training reinforcement consulting services design the scientifically optimized reinforcement programs that ensure your training investment delivers lasting retention.</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Spaced Repetition Schedules</w:t>
      </w:r>
      <w:r>
        <w:rPr>
          <w:b w:val="0"/>
          <w:i w:val="0"/>
          <w:color w:val="5C5E6E"/>
          <w:sz w:val="20"/>
        </w:rPr>
        <w:t xml:space="preserve"> We design reinforcement schedules based on cognitive science principles -- optimizing the intervals between reinforcement touchpoints to intercept the forgetting curve at precisely the right moments. Each schedule is calibrated to the complexity of the content, the criticality of the knowledge, and the learner population's baseline retention patterns. Typical reinforcement cadences span 2-12 weeks post-training with decreasing frequency as retention stabilizes.</w:t>
      </w:r>
    </w:p>
    <w:p>
      <w:pPr>
        <w:spacing w:before="40" w:after="80"/>
        <w:ind w:left="283"/>
      </w:pPr>
      <w:r>
        <w:rPr>
          <w:b w:val="0"/>
          <w:i w:val="0"/>
          <w:color w:val="5C5E6E"/>
          <w:sz w:val="20"/>
        </w:rPr>
      </w:r>
      <w:r>
        <w:rPr>
          <w:b/>
          <w:i w:val="0"/>
          <w:color w:val="1A1A2E"/>
          <w:sz w:val="20"/>
        </w:rPr>
        <w:t>Retrieval Practice Sequences</w:t>
      </w:r>
      <w:r>
        <w:rPr>
          <w:b w:val="0"/>
          <w:i w:val="0"/>
          <w:color w:val="5C5E6E"/>
          <w:sz w:val="20"/>
        </w:rPr>
        <w:t xml:space="preserve"> Retrieval practice -- the act of actively pulling information from memory rather than passively reviewing it -- is the single most powerful learning technique identified by cognitive science. We design retrieval practice sequences using scenario-based questions, case-based challenges, application prompts, and confidence-rated assessments that force active recall and strengthen neural pathways with each repetition.</w:t>
      </w:r>
    </w:p>
    <w:p>
      <w:pPr>
        <w:spacing w:before="40" w:after="80"/>
        <w:ind w:left="283"/>
      </w:pPr>
      <w:r>
        <w:rPr>
          <w:b w:val="0"/>
          <w:i w:val="0"/>
          <w:color w:val="5C5E6E"/>
          <w:sz w:val="20"/>
        </w:rPr>
      </w:r>
      <w:r>
        <w:rPr>
          <w:b/>
          <w:i w:val="0"/>
          <w:color w:val="1A1A2E"/>
          <w:sz w:val="20"/>
        </w:rPr>
        <w:t>Confidence-Based Assessment Design</w:t>
      </w:r>
      <w:r>
        <w:rPr>
          <w:b w:val="0"/>
          <w:i w:val="0"/>
          <w:color w:val="5C5E6E"/>
          <w:sz w:val="20"/>
        </w:rPr>
        <w:t xml:space="preserve"> Not all knowledge gaps are equal. We design confidence-based assessments that measure both whether a learner knows the answer and how confident they are in that answer. This dual-axis measurement identifies four critical states: informed and confident (mastery), informed but uncertain (needs reinforcement), uninformed but uncertain (expected gap), and uninformed but confident (dangerous gap requiring immediate intervention).</w:t>
      </w:r>
    </w:p>
    <w:p>
      <w:pPr>
        <w:spacing w:before="40" w:after="80"/>
        <w:ind w:left="283"/>
      </w:pPr>
      <w:r>
        <w:rPr>
          <w:b w:val="0"/>
          <w:i w:val="0"/>
          <w:color w:val="5C5E6E"/>
          <w:sz w:val="20"/>
        </w:rPr>
      </w:r>
      <w:r>
        <w:rPr>
          <w:b/>
          <w:i w:val="0"/>
          <w:color w:val="1A1A2E"/>
          <w:sz w:val="20"/>
        </w:rPr>
        <w:t>Adaptive Reinforcement Algorithms</w:t>
      </w:r>
      <w:r>
        <w:rPr>
          <w:b w:val="0"/>
          <w:i w:val="0"/>
          <w:color w:val="5C5E6E"/>
          <w:sz w:val="20"/>
        </w:rPr>
        <w:t xml:space="preserve"> We design adaptive systems that adjust reinforcement frequency, difficulty, and content based on each learner's demonstrated retention patterns. Learners who retain well receive less frequent, more challenging reinforcement. Learners who show decay receive more frequent, foundational reinforcement. The result is efficient, personalized reinforcement that invests effort where it has the greatest impact.</w:t>
      </w:r>
    </w:p>
    <w:p>
      <w:pPr>
        <w:spacing w:before="200" w:after="40"/>
      </w:pPr>
      <w:r>
        <w:rPr>
          <w:b/>
          <w:caps/>
          <w:color w:val="2D2F6B"/>
          <w:sz w:val="18"/>
        </w:rPr>
        <w:t xml:space="preserve"> Sub-features (3 columns) </w:t>
      </w:r>
    </w:p>
    <w:p>
      <w:pPr>
        <w:pStyle w:val="ListBullet"/>
        <w:spacing w:before="20" w:after="20"/>
        <w:ind w:left="850"/>
      </w:pPr>
      <w:r>
        <w:rPr>
          <w:color w:val="5C5E6E"/>
          <w:sz w:val="20"/>
        </w:rPr>
        <w:t>Forgetting curve analysis per content domain</w:t>
      </w:r>
    </w:p>
    <w:p>
      <w:pPr>
        <w:pStyle w:val="ListBullet"/>
        <w:spacing w:before="20" w:after="20"/>
        <w:ind w:left="850"/>
      </w:pPr>
      <w:r>
        <w:rPr>
          <w:color w:val="5C5E6E"/>
          <w:sz w:val="20"/>
        </w:rPr>
        <w:t>Interval optimization based on content complexity</w:t>
      </w:r>
    </w:p>
    <w:p>
      <w:pPr>
        <w:pStyle w:val="ListBullet"/>
        <w:spacing w:before="20" w:after="20"/>
        <w:ind w:left="850"/>
      </w:pPr>
      <w:r>
        <w:rPr>
          <w:color w:val="5C5E6E"/>
          <w:sz w:val="20"/>
        </w:rPr>
        <w:t>Scenario-based retrieval challenge design</w:t>
      </w:r>
    </w:p>
    <w:p>
      <w:pPr>
        <w:pStyle w:val="ListBullet"/>
        <w:spacing w:before="20" w:after="20"/>
        <w:ind w:left="850"/>
      </w:pPr>
      <w:r>
        <w:rPr>
          <w:color w:val="5C5E6E"/>
          <w:sz w:val="20"/>
        </w:rPr>
        <w:t>Multi-modal reinforcement (text, video, audio, interactive)</w:t>
      </w:r>
    </w:p>
    <w:p>
      <w:pPr>
        <w:pStyle w:val="ListBullet"/>
        <w:spacing w:before="20" w:after="20"/>
        <w:ind w:left="850"/>
      </w:pPr>
      <w:r>
        <w:rPr>
          <w:color w:val="5C5E6E"/>
          <w:sz w:val="20"/>
        </w:rPr>
        <w:t>Reinforcement content authoring guidelines</w:t>
      </w:r>
    </w:p>
    <w:p>
      <w:pPr>
        <w:pStyle w:val="ListBullet"/>
        <w:spacing w:before="20" w:after="20"/>
        <w:ind w:left="850"/>
      </w:pPr>
      <w:r>
        <w:rPr>
          <w:color w:val="5C5E6E"/>
          <w:sz w:val="20"/>
        </w:rPr>
        <w:t>Integration with existing LMS/LXP platforms</w:t>
      </w:r>
    </w:p>
    <w:p>
      <w:pPr>
        <w:spacing w:before="120" w:after="80"/>
        <w:ind w:left="283"/>
      </w:pPr>
      <w:r>
        <w:rPr>
          <w:b/>
          <w:color w:val="7B93DB"/>
          <w:sz w:val="18"/>
        </w:rPr>
        <w:t xml:space="preserve">[IMAGE] </w:t>
      </w:r>
      <w:r>
        <w:rPr>
          <w:i/>
          <w:color w:val="8A8C9A"/>
          <w:sz w:val="18"/>
        </w:rPr>
        <w:t>Visual timeline showing spaced reinforcement intervals mapped against the forgetting curve -- knowledge retention rising with each reinforcement touchpoint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 Microlearning &amp; Nudge Architecture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Microlearning &amp; Nudge Architecture </w:t>
      </w:r>
    </w:p>
    <w:p>
      <w:pPr>
        <w:spacing w:before="40" w:after="80"/>
        <w:ind w:left="283"/>
      </w:pPr>
      <w:r>
        <w:rPr>
          <w:b w:val="0"/>
          <w:i w:val="0"/>
          <w:color w:val="5C5E6E"/>
          <w:sz w:val="20"/>
        </w:rPr>
        <w:t>Microlearning is not simply "short training." Effective microlearning is a reinforcement architecture -- a system of brief, focused, strategically sequenced learning interactions delivered in the flow of work to reinforce, extend, and apply knowledge acquired in primary training events. When designed correctly, microlearning reinforcement fits into 2-5 minutes of a learner's day while delivering measurable retention and behavior change. Edstellar's microlearning and nudge architecture consulting services design the content systems, delivery mechanisms, and behavioral nudge sequences that make reinforcement a seamless part of daily work.</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Microlearning Content Architecture</w:t>
      </w:r>
      <w:r>
        <w:rPr>
          <w:b w:val="0"/>
          <w:i w:val="0"/>
          <w:color w:val="5C5E6E"/>
          <w:sz w:val="20"/>
        </w:rPr>
        <w:t xml:space="preserve"> We design the content architecture for your reinforcement library -- defining content types (scenario questions, video micro-lessons, infographic summaries, audio reinforcement, interactive simulations), content length standards, difficulty progressions, and tagging taxonomies. Every micro-content unit maps directly to a specific learning objective from the primary training program, creating a traceable connection between reinforcement and original intent.</w:t>
      </w:r>
    </w:p>
    <w:p>
      <w:pPr>
        <w:spacing w:before="40" w:after="80"/>
        <w:ind w:left="283"/>
      </w:pPr>
      <w:r>
        <w:rPr>
          <w:b w:val="0"/>
          <w:i w:val="0"/>
          <w:color w:val="5C5E6E"/>
          <w:sz w:val="20"/>
        </w:rPr>
      </w:r>
      <w:r>
        <w:rPr>
          <w:b/>
          <w:i w:val="0"/>
          <w:color w:val="1A1A2E"/>
          <w:sz w:val="20"/>
        </w:rPr>
        <w:t>Behavioral Nudge Sequencing</w:t>
      </w:r>
      <w:r>
        <w:rPr>
          <w:b w:val="0"/>
          <w:i w:val="0"/>
          <w:color w:val="5C5E6E"/>
          <w:sz w:val="20"/>
        </w:rPr>
        <w:t xml:space="preserve"> Nudges are brief, contextual prompts that remind learners to apply new skills at the moment of need. We design nudge sequences that are triggered by time intervals, workplace events, or learner behavior -- a coaching reminder before a difficult conversation, a process checklist before a compliance-sensitive task, a skill prompt before a client meeting. Each nudge is designed using behavioral science principles: timely, specific, actionable, and low-friction.</w:t>
      </w:r>
    </w:p>
    <w:p>
      <w:pPr>
        <w:spacing w:before="40" w:after="80"/>
        <w:ind w:left="283"/>
      </w:pPr>
      <w:r>
        <w:rPr>
          <w:b w:val="0"/>
          <w:i w:val="0"/>
          <w:color w:val="5C5E6E"/>
          <w:sz w:val="20"/>
        </w:rPr>
      </w:r>
      <w:r>
        <w:rPr>
          <w:b/>
          <w:i w:val="0"/>
          <w:color w:val="1A1A2E"/>
          <w:sz w:val="20"/>
        </w:rPr>
        <w:t>Mobile-First Delivery Design</w:t>
      </w:r>
      <w:r>
        <w:rPr>
          <w:b w:val="0"/>
          <w:i w:val="0"/>
          <w:color w:val="5C5E6E"/>
          <w:sz w:val="20"/>
        </w:rPr>
        <w:t xml:space="preserve"> 68% of employees prefer to learn at work, and mobile is the fastest-growing learning delivery channel. We architect mobile-first reinforcement experiences that work across devices, integrate with existing communication platforms (Slack, Teams, SMS), and deliver reinforcement without requiring learners to log into an LMS. Push notifications, chatbot interactions, and embedded workflow tools ensure reinforcement reaches learners where they already work.</w:t>
      </w:r>
    </w:p>
    <w:p>
      <w:pPr>
        <w:spacing w:before="40" w:after="80"/>
        <w:ind w:left="283"/>
      </w:pPr>
      <w:r>
        <w:rPr>
          <w:b w:val="0"/>
          <w:i w:val="0"/>
          <w:color w:val="5C5E6E"/>
          <w:sz w:val="20"/>
        </w:rPr>
      </w:r>
      <w:r>
        <w:rPr>
          <w:b/>
          <w:i w:val="0"/>
          <w:color w:val="1A1A2E"/>
          <w:sz w:val="20"/>
        </w:rPr>
        <w:t>Just-in-Time Performance Support</w:t>
      </w:r>
      <w:r>
        <w:rPr>
          <w:b w:val="0"/>
          <w:i w:val="0"/>
          <w:color w:val="5C5E6E"/>
          <w:sz w:val="20"/>
        </w:rPr>
        <w:t xml:space="preserve"> Beyond scheduled reinforcement, we design performance support systems -- quick-reference job aids, decision trees, process checklists, and searchable knowledge bases -- that provide instant access to critical information at the moment of need. Performance support bridges the gap between learning and doing by putting the right knowledge at the learner's fingertips precisely when they need it.</w:t>
      </w:r>
    </w:p>
    <w:p>
      <w:pPr>
        <w:spacing w:before="200" w:after="40"/>
      </w:pPr>
      <w:r>
        <w:rPr>
          <w:b/>
          <w:caps/>
          <w:color w:val="2D2F6B"/>
          <w:sz w:val="18"/>
        </w:rPr>
        <w:t xml:space="preserve"> Sub-features (3 columns) </w:t>
      </w:r>
    </w:p>
    <w:p>
      <w:pPr>
        <w:pStyle w:val="ListBullet"/>
        <w:spacing w:before="20" w:after="20"/>
        <w:ind w:left="850"/>
      </w:pPr>
      <w:r>
        <w:rPr>
          <w:color w:val="5C5E6E"/>
          <w:sz w:val="20"/>
        </w:rPr>
        <w:t>Micro-content storyboarding and scripting</w:t>
      </w:r>
    </w:p>
    <w:p>
      <w:pPr>
        <w:pStyle w:val="ListBullet"/>
        <w:spacing w:before="20" w:after="20"/>
        <w:ind w:left="850"/>
      </w:pPr>
      <w:r>
        <w:rPr>
          <w:color w:val="5C5E6E"/>
          <w:sz w:val="20"/>
        </w:rPr>
        <w:t>Push notification strategy and frequency optimization</w:t>
      </w:r>
    </w:p>
    <w:p>
      <w:pPr>
        <w:pStyle w:val="ListBullet"/>
        <w:spacing w:before="20" w:after="20"/>
        <w:ind w:left="850"/>
      </w:pPr>
      <w:r>
        <w:rPr>
          <w:color w:val="5C5E6E"/>
          <w:sz w:val="20"/>
        </w:rPr>
        <w:t>Chatbot-based reinforcement interactions</w:t>
      </w:r>
    </w:p>
    <w:p>
      <w:pPr>
        <w:pStyle w:val="ListBullet"/>
        <w:spacing w:before="20" w:after="20"/>
        <w:ind w:left="850"/>
      </w:pPr>
      <w:r>
        <w:rPr>
          <w:color w:val="5C5E6E"/>
          <w:sz w:val="20"/>
        </w:rPr>
        <w:t>Video micro-lesson production guidelines</w:t>
      </w:r>
    </w:p>
    <w:p>
      <w:pPr>
        <w:pStyle w:val="ListBullet"/>
        <w:spacing w:before="20" w:after="20"/>
        <w:ind w:left="850"/>
      </w:pPr>
      <w:r>
        <w:rPr>
          <w:color w:val="5C5E6E"/>
          <w:sz w:val="20"/>
        </w:rPr>
        <w:t>Workflow-embedded learning triggers</w:t>
      </w:r>
    </w:p>
    <w:p>
      <w:pPr>
        <w:pStyle w:val="ListBullet"/>
        <w:spacing w:before="20" w:after="20"/>
        <w:ind w:left="850"/>
      </w:pPr>
      <w:r>
        <w:rPr>
          <w:color w:val="5C5E6E"/>
          <w:sz w:val="20"/>
        </w:rPr>
        <w:t>Content refresh and retirement schedules</w:t>
      </w:r>
    </w:p>
    <w:p>
      <w:pPr>
        <w:spacing w:before="120" w:after="80"/>
        <w:ind w:left="283"/>
      </w:pPr>
      <w:r>
        <w:rPr>
          <w:b/>
          <w:color w:val="7B93DB"/>
          <w:sz w:val="18"/>
        </w:rPr>
        <w:t xml:space="preserve">[IMAGE] </w:t>
      </w:r>
      <w:r>
        <w:rPr>
          <w:i/>
          <w:color w:val="8A8C9A"/>
          <w:sz w:val="18"/>
        </w:rPr>
        <w:t>Split-screen showing mobile device with microlearning module on left and desktop workflow with embedded nudge prompt on right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 Manager-Led Sustainment Coaching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Manager-Led Sustainment Coaching </w:t>
      </w:r>
    </w:p>
    <w:p>
      <w:pPr>
        <w:spacing w:before="40" w:after="80"/>
        <w:ind w:left="283"/>
      </w:pPr>
      <w:r>
        <w:rPr>
          <w:b w:val="0"/>
          <w:i w:val="0"/>
          <w:color w:val="5C5E6E"/>
          <w:sz w:val="20"/>
        </w:rPr>
        <w:t>Research published in the Harvard Business Review found that employees who receive manager-led reinforcement after training demonstrate a 16% increase in overall performance and exhibit 125% less burnout than their peers. The front-line manager is the single most powerful lever for post-training sustainment -- and the most consistently neglected. When managers actively coach, question, and hold learners accountable for applying new skills, retention and behavior transfer rates increase dramatically. When managers are absent from the sustainment equation, learners revert to pre-training habits within weeks. Edstellar's manager-led sustainment consulting services equip your managers with the frameworks, tools, and coaching cadences to become active partners in every learning journey. This training sustainment service transforms managers from passive observers into the reinforcement engine that drives lasting behavior change.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Sustainment Coaching Frameworks</w:t>
      </w:r>
      <w:r>
        <w:rPr>
          <w:b w:val="0"/>
          <w:i w:val="0"/>
          <w:color w:val="5C5E6E"/>
          <w:sz w:val="20"/>
        </w:rPr>
        <w:t xml:space="preserve"> We design structured coaching frameworks that guide managers through the post-training sustainment period -- defining what to observe, what questions to ask, what behaviors to reinforce, and when to escalate concerns. Each framework is customized to the specific training program, the manager's coaching maturity, and the organization's management culture. Frameworks are practical, time-efficient, and designed for managers who already have full operational responsibilities.</w:t>
      </w:r>
    </w:p>
    <w:p>
      <w:pPr>
        <w:spacing w:before="40" w:after="80"/>
        <w:ind w:left="283"/>
      </w:pPr>
      <w:r>
        <w:rPr>
          <w:b w:val="0"/>
          <w:i w:val="0"/>
          <w:color w:val="5C5E6E"/>
          <w:sz w:val="20"/>
        </w:rPr>
      </w:r>
      <w:r>
        <w:rPr>
          <w:b/>
          <w:i w:val="0"/>
          <w:color w:val="1A1A2E"/>
          <w:sz w:val="20"/>
        </w:rPr>
        <w:t>Coaching Conversation Guides</w:t>
      </w:r>
      <w:r>
        <w:rPr>
          <w:b w:val="0"/>
          <w:i w:val="0"/>
          <w:color w:val="5C5E6E"/>
          <w:sz w:val="20"/>
        </w:rPr>
        <w:t xml:space="preserve"> Scripted conversation starters, open-ended observation questions, and feedback templates that remove the guesswork from sustainment coaching. Managers receive a sequence of conversations -- one per week for 4-8 weeks post-training -- with specific discussion prompts linked to the training content. Each conversation takes 10-15 minutes and is designed to both reinforce learning and build the manager-learner coaching relationship.</w:t>
      </w:r>
    </w:p>
    <w:p>
      <w:pPr>
        <w:spacing w:before="40" w:after="80"/>
        <w:ind w:left="283"/>
      </w:pPr>
      <w:r>
        <w:rPr>
          <w:b w:val="0"/>
          <w:i w:val="0"/>
          <w:color w:val="5C5E6E"/>
          <w:sz w:val="20"/>
        </w:rPr>
      </w:r>
      <w:r>
        <w:rPr>
          <w:b/>
          <w:i w:val="0"/>
          <w:color w:val="1A1A2E"/>
          <w:sz w:val="20"/>
        </w:rPr>
        <w:t>Observation and Accountability Checklists</w:t>
      </w:r>
      <w:r>
        <w:rPr>
          <w:b w:val="0"/>
          <w:i w:val="0"/>
          <w:color w:val="5C5E6E"/>
          <w:sz w:val="20"/>
        </w:rPr>
        <w:t xml:space="preserve"> Behavior observation checklists that help managers assess whether learners are applying new skills on the job. Each checklist maps to specific learning objectives and provides a structured way to document observed behaviors, provide feedback, and track progress over the sustainment period. Accountability mechanisms include peer check-ins, learning logs, and progress-sharing sessions.</w:t>
      </w:r>
    </w:p>
    <w:p>
      <w:pPr>
        <w:spacing w:before="40" w:after="80"/>
        <w:ind w:left="283"/>
      </w:pPr>
      <w:r>
        <w:rPr>
          <w:b w:val="0"/>
          <w:i w:val="0"/>
          <w:color w:val="5C5E6E"/>
          <w:sz w:val="20"/>
        </w:rPr>
      </w:r>
      <w:r>
        <w:rPr>
          <w:b/>
          <w:i w:val="0"/>
          <w:color w:val="1A1A2E"/>
          <w:sz w:val="20"/>
        </w:rPr>
        <w:t>Manager Enablement Workshops</w:t>
      </w:r>
      <w:r>
        <w:rPr>
          <w:b w:val="0"/>
          <w:i w:val="0"/>
          <w:color w:val="5C5E6E"/>
          <w:sz w:val="20"/>
        </w:rPr>
        <w:t xml:space="preserve"> Before managers can reinforce learning, they need to understand the training content and the sustainment methodology. We deliver short, focused enablement sessions (60-90 minutes) that brief managers on the training objectives, demonstrate the coaching tools, practice key conversations, and establish the sustainment cadence. These workshops transform managers from passive spectators into active sustainment partners.</w:t>
      </w:r>
    </w:p>
    <w:p>
      <w:pPr>
        <w:spacing w:before="200" w:after="40"/>
      </w:pPr>
      <w:r>
        <w:rPr>
          <w:b/>
          <w:caps/>
          <w:color w:val="2D2F6B"/>
          <w:sz w:val="18"/>
        </w:rPr>
        <w:t xml:space="preserve"> Sub-features (3 columns) </w:t>
      </w:r>
    </w:p>
    <w:p>
      <w:pPr>
        <w:pStyle w:val="ListBullet"/>
        <w:spacing w:before="20" w:after="20"/>
        <w:ind w:left="850"/>
      </w:pPr>
      <w:r>
        <w:rPr>
          <w:color w:val="5C5E6E"/>
          <w:sz w:val="20"/>
        </w:rPr>
        <w:t>Manager readiness assessment</w:t>
      </w:r>
    </w:p>
    <w:p>
      <w:pPr>
        <w:pStyle w:val="ListBullet"/>
        <w:spacing w:before="20" w:after="20"/>
        <w:ind w:left="850"/>
      </w:pPr>
      <w:r>
        <w:rPr>
          <w:color w:val="5C5E6E"/>
          <w:sz w:val="20"/>
        </w:rPr>
        <w:t>Coaching skill-building modules for managers</w:t>
      </w:r>
    </w:p>
    <w:p>
      <w:pPr>
        <w:pStyle w:val="ListBullet"/>
        <w:spacing w:before="20" w:after="20"/>
        <w:ind w:left="850"/>
      </w:pPr>
      <w:r>
        <w:rPr>
          <w:color w:val="5C5E6E"/>
          <w:sz w:val="20"/>
        </w:rPr>
        <w:t>Weekly sustainment conversation playbooks</w:t>
      </w:r>
    </w:p>
    <w:p>
      <w:pPr>
        <w:pStyle w:val="ListBullet"/>
        <w:spacing w:before="20" w:after="20"/>
        <w:ind w:left="850"/>
      </w:pPr>
      <w:r>
        <w:rPr>
          <w:color w:val="5C5E6E"/>
          <w:sz w:val="20"/>
        </w:rPr>
        <w:t>Behavior observation scoring rubrics</w:t>
      </w:r>
    </w:p>
    <w:p>
      <w:pPr>
        <w:pStyle w:val="ListBullet"/>
        <w:spacing w:before="20" w:after="20"/>
        <w:ind w:left="850"/>
      </w:pPr>
      <w:r>
        <w:rPr>
          <w:color w:val="5C5E6E"/>
          <w:sz w:val="20"/>
        </w:rPr>
        <w:t>Escalation protocols for non-application</w:t>
      </w:r>
    </w:p>
    <w:p>
      <w:pPr>
        <w:pStyle w:val="ListBullet"/>
        <w:spacing w:before="20" w:after="20"/>
        <w:ind w:left="850"/>
      </w:pPr>
      <w:r>
        <w:rPr>
          <w:color w:val="5C5E6E"/>
          <w:sz w:val="20"/>
        </w:rPr>
        <w:t>Manager sustainment dashboard and reporting</w:t>
      </w:r>
    </w:p>
    <w:p>
      <w:pPr>
        <w:spacing w:before="120" w:after="80"/>
        <w:ind w:left="283"/>
      </w:pPr>
      <w:r>
        <w:rPr>
          <w:b/>
          <w:color w:val="7B93DB"/>
          <w:sz w:val="18"/>
        </w:rPr>
        <w:t xml:space="preserve">[IMAGE] </w:t>
      </w:r>
      <w:r>
        <w:rPr>
          <w:i/>
          <w:color w:val="8A8C9A"/>
          <w:sz w:val="18"/>
        </w:rPr>
        <w:t>Manager and team member in a coaching conversation at a desk -- coaching guide visible on tablet, supportive and collaborative body language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 Learning Community &amp; Peer Sustainment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Learning Community &amp; Peer Sustainment </w:t>
      </w:r>
    </w:p>
    <w:p>
      <w:pPr>
        <w:spacing w:before="40" w:after="80"/>
        <w:ind w:left="283"/>
      </w:pPr>
      <w:r>
        <w:rPr>
          <w:b w:val="0"/>
          <w:i w:val="0"/>
          <w:color w:val="5C5E6E"/>
          <w:sz w:val="20"/>
        </w:rPr>
        <w:t>Sustainment does not require a facilitator for every interaction. The most resilient reinforcement ecosystems are those where learners sustain each other -- sharing experiences, challenging assumptions, holding peers accountable, and collaboratively solving real-world application problems. Research consistently shows that social learning and peer accountability significantly enhance knowledge retention and skill transfer. Edstellar's learning community and peer sustainment consulting services design the structures, platforms, and rituals that create self-sustaining learning communities. As a learning sustainment firm, we build community architectures that continue reinforcing behavior long after formal programs end.</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Communities of Practice Design</w:t>
      </w:r>
      <w:r>
        <w:rPr>
          <w:b w:val="0"/>
          <w:i w:val="0"/>
          <w:color w:val="5C5E6E"/>
          <w:sz w:val="20"/>
        </w:rPr>
        <w:t xml:space="preserve"> We design and launch communities of practice -- structured groups of professionals who share a common learning focus and meet regularly to exchange experiences, solve problems, and reinforce skills. Each community has a defined charter, facilitation model, membership criteria, meeting cadence, and content sharing protocol. Communities are designed to become self-governing within 3-6 months, reducing ongoing facilitation requirements.</w:t>
      </w:r>
    </w:p>
    <w:p>
      <w:pPr>
        <w:spacing w:before="40" w:after="80"/>
        <w:ind w:left="283"/>
      </w:pPr>
      <w:r>
        <w:rPr>
          <w:b w:val="0"/>
          <w:i w:val="0"/>
          <w:color w:val="5C5E6E"/>
          <w:sz w:val="20"/>
        </w:rPr>
      </w:r>
      <w:r>
        <w:rPr>
          <w:b/>
          <w:i w:val="0"/>
          <w:color w:val="1A1A2E"/>
          <w:sz w:val="20"/>
        </w:rPr>
        <w:t>Cohort-Based Reinforcement Programs</w:t>
      </w:r>
      <w:r>
        <w:rPr>
          <w:b w:val="0"/>
          <w:i w:val="0"/>
          <w:color w:val="5C5E6E"/>
          <w:sz w:val="20"/>
        </w:rPr>
        <w:t xml:space="preserve"> We design cohort learning journeys that extend beyond the primary training event -- pairing learners into accountability groups that progress through reinforcement activities together. Cohorts complete shared challenges, participate in peer review exercises, and present application case studies to each other. The social commitment inherent in cohort structures drives completion rates and accountability far beyond individual reinforcement approaches.</w:t>
      </w:r>
    </w:p>
    <w:p>
      <w:pPr>
        <w:spacing w:before="40" w:after="80"/>
        <w:ind w:left="283"/>
      </w:pPr>
      <w:r>
        <w:rPr>
          <w:b w:val="0"/>
          <w:i w:val="0"/>
          <w:color w:val="5C5E6E"/>
          <w:sz w:val="20"/>
        </w:rPr>
      </w:r>
      <w:r>
        <w:rPr>
          <w:b/>
          <w:i w:val="0"/>
          <w:color w:val="1A1A2E"/>
          <w:sz w:val="20"/>
        </w:rPr>
        <w:t>Peer Accountability Structures</w:t>
      </w:r>
      <w:r>
        <w:rPr>
          <w:b w:val="0"/>
          <w:i w:val="0"/>
          <w:color w:val="5C5E6E"/>
          <w:sz w:val="20"/>
        </w:rPr>
        <w:t xml:space="preserve"> Formal peer accountability mechanisms -- learning partners, accountability buddies, skill-swap arrangements, and peer observation protocols -- that create mutual commitment to applying new skills. We design the matching criteria, communication templates, accountability contracts, and progress-sharing formats that make peer sustainment structured and measurable.</w:t>
      </w:r>
    </w:p>
    <w:p>
      <w:pPr>
        <w:spacing w:before="40" w:after="80"/>
        <w:ind w:left="283"/>
      </w:pPr>
      <w:r>
        <w:rPr>
          <w:b w:val="0"/>
          <w:i w:val="0"/>
          <w:color w:val="5C5E6E"/>
          <w:sz w:val="20"/>
        </w:rPr>
      </w:r>
      <w:r>
        <w:rPr>
          <w:b/>
          <w:i w:val="0"/>
          <w:color w:val="1A1A2E"/>
          <w:sz w:val="20"/>
        </w:rPr>
        <w:t>Social Learning Platform Configuration</w:t>
      </w:r>
      <w:r>
        <w:rPr>
          <w:b w:val="0"/>
          <w:i w:val="0"/>
          <w:color w:val="5C5E6E"/>
          <w:sz w:val="20"/>
        </w:rPr>
        <w:t xml:space="preserve"> We configure social learning technology -- discussion forums, collaboration spaces, knowledge-sharing boards, and expert Q&amp;A channels -- within your existing technology ecosystem. Platform configuration includes community guidelines, content moderation frameworks, gamification elements, and analytics dashboards that track community health and engagement.</w:t>
      </w:r>
    </w:p>
    <w:p>
      <w:pPr>
        <w:spacing w:before="200" w:after="40"/>
      </w:pPr>
      <w:r>
        <w:rPr>
          <w:b/>
          <w:caps/>
          <w:color w:val="2D2F6B"/>
          <w:sz w:val="18"/>
        </w:rPr>
        <w:t xml:space="preserve"> Sub-features (3 columns) </w:t>
      </w:r>
    </w:p>
    <w:p>
      <w:pPr>
        <w:pStyle w:val="ListBullet"/>
        <w:spacing w:before="20" w:after="20"/>
        <w:ind w:left="850"/>
      </w:pPr>
      <w:r>
        <w:rPr>
          <w:color w:val="5C5E6E"/>
          <w:sz w:val="20"/>
        </w:rPr>
        <w:t>Community charter and governance templates</w:t>
      </w:r>
    </w:p>
    <w:p>
      <w:pPr>
        <w:pStyle w:val="ListBullet"/>
        <w:spacing w:before="20" w:after="20"/>
        <w:ind w:left="850"/>
      </w:pPr>
      <w:r>
        <w:rPr>
          <w:color w:val="5C5E6E"/>
          <w:sz w:val="20"/>
        </w:rPr>
        <w:t>Facilitation training for community leaders</w:t>
      </w:r>
    </w:p>
    <w:p>
      <w:pPr>
        <w:pStyle w:val="ListBullet"/>
        <w:spacing w:before="20" w:after="20"/>
        <w:ind w:left="850"/>
      </w:pPr>
      <w:r>
        <w:rPr>
          <w:color w:val="5C5E6E"/>
          <w:sz w:val="20"/>
        </w:rPr>
        <w:t>Peer coaching and feedback frameworks</w:t>
      </w:r>
    </w:p>
    <w:p>
      <w:pPr>
        <w:pStyle w:val="ListBullet"/>
        <w:spacing w:before="20" w:after="20"/>
        <w:ind w:left="850"/>
      </w:pPr>
      <w:r>
        <w:rPr>
          <w:color w:val="5C5E6E"/>
          <w:sz w:val="20"/>
        </w:rPr>
        <w:t>Knowledge-sharing event design (lunch-and-learns, skill showcases)</w:t>
      </w:r>
    </w:p>
    <w:p>
      <w:pPr>
        <w:pStyle w:val="ListBullet"/>
        <w:spacing w:before="20" w:after="20"/>
        <w:ind w:left="850"/>
      </w:pPr>
      <w:r>
        <w:rPr>
          <w:color w:val="5C5E6E"/>
          <w:sz w:val="20"/>
        </w:rPr>
        <w:t>Alumni network design for completed programs</w:t>
      </w:r>
    </w:p>
    <w:p>
      <w:pPr>
        <w:pStyle w:val="ListBullet"/>
        <w:spacing w:before="20" w:after="20"/>
        <w:ind w:left="850"/>
      </w:pPr>
      <w:r>
        <w:rPr>
          <w:color w:val="5C5E6E"/>
          <w:sz w:val="20"/>
        </w:rPr>
        <w:t>Community health metrics and engagement scoring</w:t>
      </w:r>
    </w:p>
    <w:p>
      <w:pPr>
        <w:spacing w:before="120" w:after="80"/>
        <w:ind w:left="283"/>
      </w:pPr>
      <w:r>
        <w:rPr>
          <w:b/>
          <w:color w:val="7B93DB"/>
          <w:sz w:val="18"/>
        </w:rPr>
        <w:t xml:space="preserve">[IMAGE] </w:t>
      </w:r>
      <w:r>
        <w:rPr>
          <w:i/>
          <w:color w:val="8A8C9A"/>
          <w:sz w:val="18"/>
        </w:rPr>
        <w:t>Collaborative learning circle -- group of professionals in a peer discussion session, sharing insights on whiteboards and digital displays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 Sustainment Analytics &amp; Retention Measurement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Sustainment Analytics &amp; Retention Measurement </w:t>
      </w:r>
    </w:p>
    <w:p>
      <w:pPr>
        <w:spacing w:before="40" w:after="80"/>
        <w:ind w:left="283"/>
      </w:pPr>
      <w:r>
        <w:rPr>
          <w:b w:val="0"/>
          <w:i w:val="0"/>
          <w:color w:val="5C5E6E"/>
          <w:sz w:val="20"/>
        </w:rPr>
        <w:t>You cannot manage what you do not measure. Most organizations have no visibility into whether knowledge is retained after training, which topics are decaying fastest, where behavior change is stalling, or whether reinforcement investments are producing returns. Edstellar's sustainment analytics and retention measurement consulting services deploy the assessment frameworks, tracking systems, and reporting dashboards that make your entire sustainment ecosystem measurable, manageable, and continuously improvable. Our knowledge retention solutions give L&amp;D leaders the data they need to target reinforcement where it matters most.</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Knowledge Retention Assessment Frameworks</w:t>
      </w:r>
      <w:r>
        <w:rPr>
          <w:b w:val="0"/>
          <w:i w:val="0"/>
          <w:color w:val="5C5E6E"/>
          <w:sz w:val="20"/>
        </w:rPr>
        <w:t xml:space="preserve"> We design retention assessment programs that measure actual knowledge retention at defined intervals after training -- 2 weeks, 30 days, 60 days, 90 days. Assessments use retrieval-based testing (not recognition-based), scenario-based application questions, and confidence ratings to produce a multidimensional view of retention. Retention data is analyzed by topic, role, location, and manager to identify systemic patterns and targeted intervention opportunities.</w:t>
      </w:r>
    </w:p>
    <w:p>
      <w:pPr>
        <w:spacing w:before="40" w:after="80"/>
        <w:ind w:left="283"/>
      </w:pPr>
      <w:r>
        <w:rPr>
          <w:b w:val="0"/>
          <w:i w:val="0"/>
          <w:color w:val="5C5E6E"/>
          <w:sz w:val="20"/>
        </w:rPr>
      </w:r>
      <w:r>
        <w:rPr>
          <w:b/>
          <w:i w:val="0"/>
          <w:color w:val="1A1A2E"/>
          <w:sz w:val="20"/>
        </w:rPr>
        <w:t>Knowledge Decay Tracking &amp; Heat Maps</w:t>
      </w:r>
      <w:r>
        <w:rPr>
          <w:b w:val="0"/>
          <w:i w:val="0"/>
          <w:color w:val="5C5E6E"/>
          <w:sz w:val="20"/>
        </w:rPr>
        <w:t xml:space="preserve"> We build knowledge decay dashboards that visualize retention trends across your organization -- showing which topics are retained, which are decaying, and at what rate. Heat maps enable L&amp;D teams and business leaders to see at a glance where reinforcement is working and where urgent intervention is needed. Decay data directly informs reinforcement content priorities and scheduling adjustments.</w:t>
      </w:r>
    </w:p>
    <w:p>
      <w:pPr>
        <w:spacing w:before="40" w:after="80"/>
        <w:ind w:left="283"/>
      </w:pPr>
      <w:r>
        <w:rPr>
          <w:b w:val="0"/>
          <w:i w:val="0"/>
          <w:color w:val="5C5E6E"/>
          <w:sz w:val="20"/>
        </w:rPr>
      </w:r>
      <w:r>
        <w:rPr>
          <w:b/>
          <w:i w:val="0"/>
          <w:color w:val="1A1A2E"/>
          <w:sz w:val="20"/>
        </w:rPr>
        <w:t>Behavior Verification Protocols</w:t>
      </w:r>
      <w:r>
        <w:rPr>
          <w:b w:val="0"/>
          <w:i w:val="0"/>
          <w:color w:val="5C5E6E"/>
          <w:sz w:val="20"/>
        </w:rPr>
        <w:t xml:space="preserve"> Retention without application is academic. We design behavior verification protocols -- manager observation assessments, peer feedback surveys, workflow output analysis, and performance metric correlation -- that confirm whether retained knowledge is actually being applied on the job. Behavior verification bridges the gap between Level 2 (knowledge) and Level 3 (application) measurement.</w:t>
      </w:r>
    </w:p>
    <w:p>
      <w:pPr>
        <w:spacing w:before="40" w:after="80"/>
        <w:ind w:left="283"/>
      </w:pPr>
      <w:r>
        <w:rPr>
          <w:b w:val="0"/>
          <w:i w:val="0"/>
          <w:color w:val="5C5E6E"/>
          <w:sz w:val="20"/>
        </w:rPr>
      </w:r>
      <w:r>
        <w:rPr>
          <w:b/>
          <w:i w:val="0"/>
          <w:color w:val="1A1A2E"/>
          <w:sz w:val="20"/>
        </w:rPr>
        <w:t>Sustainment ROI Analytics</w:t>
      </w:r>
      <w:r>
        <w:rPr>
          <w:b w:val="0"/>
          <w:i w:val="0"/>
          <w:color w:val="5C5E6E"/>
          <w:sz w:val="20"/>
        </w:rPr>
        <w:t xml:space="preserve"> We calculate the return on investment of your sustainment efforts -- comparing the cost of reinforcement programs against the measurable improvement in knowledge retention, behavior transfer, and business outcomes. Sustainment ROI helps justify continued investment in reinforcement and identifies which sustainment methods deliver the highest impact per dollar spent.</w:t>
      </w:r>
    </w:p>
    <w:p>
      <w:pPr>
        <w:spacing w:before="200" w:after="40"/>
      </w:pPr>
      <w:r>
        <w:rPr>
          <w:b/>
          <w:caps/>
          <w:color w:val="2D2F6B"/>
          <w:sz w:val="18"/>
        </w:rPr>
        <w:t xml:space="preserve"> Sub-features (3 columns) </w:t>
      </w:r>
    </w:p>
    <w:p>
      <w:pPr>
        <w:pStyle w:val="ListBullet"/>
        <w:spacing w:before="20" w:after="20"/>
        <w:ind w:left="850"/>
      </w:pPr>
      <w:r>
        <w:rPr>
          <w:color w:val="5C5E6E"/>
          <w:sz w:val="20"/>
        </w:rPr>
        <w:t>Retention assessment instrument design</w:t>
      </w:r>
    </w:p>
    <w:p>
      <w:pPr>
        <w:pStyle w:val="ListBullet"/>
        <w:spacing w:before="20" w:after="20"/>
        <w:ind w:left="850"/>
      </w:pPr>
      <w:r>
        <w:rPr>
          <w:color w:val="5C5E6E"/>
          <w:sz w:val="20"/>
        </w:rPr>
        <w:t>Automated retention testing deployment</w:t>
      </w:r>
    </w:p>
    <w:p>
      <w:pPr>
        <w:pStyle w:val="ListBullet"/>
        <w:spacing w:before="20" w:after="20"/>
        <w:ind w:left="850"/>
      </w:pPr>
      <w:r>
        <w:rPr>
          <w:color w:val="5C5E6E"/>
          <w:sz w:val="20"/>
        </w:rPr>
        <w:t>Knowledge decay rate calculation by topic</w:t>
      </w:r>
    </w:p>
    <w:p>
      <w:pPr>
        <w:pStyle w:val="ListBullet"/>
        <w:spacing w:before="20" w:after="20"/>
        <w:ind w:left="850"/>
      </w:pPr>
      <w:r>
        <w:rPr>
          <w:color w:val="5C5E6E"/>
          <w:sz w:val="20"/>
        </w:rPr>
        <w:t>Manager observation data aggregation</w:t>
      </w:r>
    </w:p>
    <w:p>
      <w:pPr>
        <w:pStyle w:val="ListBullet"/>
        <w:spacing w:before="20" w:after="20"/>
        <w:ind w:left="850"/>
      </w:pPr>
      <w:r>
        <w:rPr>
          <w:color w:val="5C5E6E"/>
          <w:sz w:val="20"/>
        </w:rPr>
        <w:t>Sustainment cost-benefit analysis</w:t>
      </w:r>
    </w:p>
    <w:p>
      <w:pPr>
        <w:pStyle w:val="ListBullet"/>
        <w:spacing w:before="20" w:after="20"/>
        <w:ind w:left="850"/>
      </w:pPr>
      <w:r>
        <w:rPr>
          <w:color w:val="5C5E6E"/>
          <w:sz w:val="20"/>
        </w:rPr>
        <w:t>Predictive retention modeling</w:t>
      </w:r>
    </w:p>
    <w:p>
      <w:pPr>
        <w:spacing w:before="120" w:after="80"/>
        <w:ind w:left="283"/>
      </w:pPr>
      <w:r>
        <w:rPr>
          <w:b/>
          <w:color w:val="7B93DB"/>
          <w:sz w:val="18"/>
        </w:rPr>
        <w:t xml:space="preserve">[IMAGE] </w:t>
      </w:r>
      <w:r>
        <w:rPr>
          <w:i/>
          <w:color w:val="8A8C9A"/>
          <w:sz w:val="18"/>
        </w:rPr>
        <w:t>Analytics dashboard showing knowledge retention curves across multiple training programs -- heat maps indicating strong and weak retention zones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Learning Engagement &amp; Sustainment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Approach to Learning Engagement &amp; Sustainment Consulting </w:t>
      </w:r>
    </w:p>
    <w:p>
      <w:pPr>
        <w:spacing w:before="40" w:after="80"/>
        <w:ind w:left="283"/>
      </w:pPr>
      <w:r>
        <w:rPr>
          <w:b w:val="0"/>
          <w:i w:val="0"/>
          <w:color w:val="5C5E6E"/>
          <w:sz w:val="20"/>
        </w:rPr>
        <w:t>Edstellar follows a proven five-phase methodology that takes organizations from training that fades to learning that lasts. As a training sustainment consulting partner, each phase builds on the last, creating momentum while delivering measurable retention improvement at every stage.</w:t>
      </w:r>
    </w:p>
    <w:p>
      <w:pPr>
        <w:spacing w:before="40" w:after="80"/>
        <w:ind w:left="283"/>
      </w:pPr>
      <w:r>
        <w:rPr>
          <w:b w:val="0"/>
          <w:i w:val="0"/>
          <w:color w:val="5C5E6E"/>
          <w:sz w:val="20"/>
        </w:rPr>
      </w:r>
      <w:r>
        <w:rPr>
          <w:b/>
          <w:i w:val="0"/>
          <w:color w:val="1A1A2E"/>
          <w:sz w:val="20"/>
        </w:rPr>
        <w:t>PHASE 1: Diagnose</w:t>
      </w:r>
      <w:r>
        <w:rPr>
          <w:b w:val="0"/>
          <w:i w:val="0"/>
          <w:color w:val="5C5E6E"/>
          <w:sz w:val="20"/>
        </w:rPr>
        <w:t xml:space="preserve"> *Duration: 2-3 weeks* *Format: Assessment + stakeholder interviews*</w:t>
      </w:r>
    </w:p>
    <w:p>
      <w:pPr>
        <w:spacing w:before="40" w:after="80"/>
        <w:ind w:left="283"/>
      </w:pPr>
      <w:r>
        <w:rPr>
          <w:b w:val="0"/>
          <w:i w:val="0"/>
          <w:color w:val="5C5E6E"/>
          <w:sz w:val="20"/>
        </w:rPr>
        <w:t>We audit your current engagement and sustainment maturity, assess existing reinforcement practices (or lack thereof), map the forgetting curve impact across your priority programs, and interview key stakeholders to understand where training investment is being lost.</w:t>
      </w:r>
    </w:p>
    <w:p>
      <w:pPr>
        <w:pStyle w:val="ListBullet"/>
        <w:spacing w:before="20" w:after="20"/>
        <w:ind w:left="850"/>
      </w:pPr>
      <w:r>
        <w:rPr>
          <w:color w:val="5C5E6E"/>
          <w:sz w:val="20"/>
        </w:rPr>
        <w:t>Current-state engagement and sustainment maturity assessment</w:t>
      </w:r>
    </w:p>
    <w:p>
      <w:pPr>
        <w:pStyle w:val="ListBullet"/>
        <w:spacing w:before="20" w:after="20"/>
        <w:ind w:left="850"/>
      </w:pPr>
      <w:r>
        <w:rPr>
          <w:color w:val="5C5E6E"/>
          <w:sz w:val="20"/>
        </w:rPr>
        <w:t>Forgetting curve impact analysis across priority training programs</w:t>
      </w:r>
    </w:p>
    <w:p>
      <w:pPr>
        <w:pStyle w:val="ListBullet"/>
        <w:spacing w:before="20" w:after="20"/>
        <w:ind w:left="850"/>
      </w:pPr>
      <w:r>
        <w:rPr>
          <w:color w:val="5C5E6E"/>
          <w:sz w:val="20"/>
        </w:rPr>
        <w:t>Learner engagement survey and experience audit</w:t>
      </w:r>
    </w:p>
    <w:p>
      <w:pPr>
        <w:pStyle w:val="ListBullet"/>
        <w:spacing w:before="20" w:after="20"/>
        <w:ind w:left="850"/>
      </w:pPr>
      <w:r>
        <w:rPr>
          <w:color w:val="5C5E6E"/>
          <w:sz w:val="20"/>
        </w:rPr>
        <w:t>Manager reinforcement capability assessment</w:t>
      </w:r>
    </w:p>
    <w:p>
      <w:pPr>
        <w:pStyle w:val="ListBullet"/>
        <w:spacing w:before="20" w:after="20"/>
        <w:ind w:left="850"/>
      </w:pPr>
      <w:r>
        <w:rPr>
          <w:color w:val="5C5E6E"/>
          <w:sz w:val="20"/>
        </w:rPr>
        <w:t>Stakeholder needs analysis (CLO, business unit heads, front-line managers)</w:t>
      </w:r>
    </w:p>
    <w:p>
      <w:pPr>
        <w:pStyle w:val="ListBullet"/>
        <w:spacing w:before="20" w:after="20"/>
        <w:ind w:left="850"/>
      </w:pPr>
      <w:r>
        <w:rPr>
          <w:color w:val="5C5E6E"/>
          <w:sz w:val="20"/>
        </w:rPr>
        <w:t>Quick-win identification for immediate retention improvement</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3-4 weeks* *Format: Collaborative workshops + architecture*</w:t>
      </w:r>
    </w:p>
    <w:p>
      <w:pPr>
        <w:spacing w:before="40" w:after="80"/>
        <w:ind w:left="283"/>
      </w:pPr>
      <w:r>
        <w:rPr>
          <w:b w:val="0"/>
          <w:i w:val="0"/>
          <w:color w:val="5C5E6E"/>
          <w:sz w:val="20"/>
        </w:rPr>
        <w:t>We co-design the engagement strategy, reinforcement architecture, microlearning framework, and manager sustainment model -- working with your team to ensure organizational fit and cultural alignment.</w:t>
      </w:r>
    </w:p>
    <w:p>
      <w:pPr>
        <w:pStyle w:val="ListBullet"/>
        <w:spacing w:before="20" w:after="20"/>
        <w:ind w:left="850"/>
      </w:pPr>
      <w:r>
        <w:rPr>
          <w:color w:val="5C5E6E"/>
          <w:sz w:val="20"/>
        </w:rPr>
        <w:t>Engagement strategy and motivation architecture</w:t>
      </w:r>
    </w:p>
    <w:p>
      <w:pPr>
        <w:pStyle w:val="ListBullet"/>
        <w:spacing w:before="20" w:after="20"/>
        <w:ind w:left="850"/>
      </w:pPr>
      <w:r>
        <w:rPr>
          <w:color w:val="5C5E6E"/>
          <w:sz w:val="20"/>
        </w:rPr>
        <w:t>Spaced reinforcement schedule design (per program)</w:t>
      </w:r>
    </w:p>
    <w:p>
      <w:pPr>
        <w:pStyle w:val="ListBullet"/>
        <w:spacing w:before="20" w:after="20"/>
        <w:ind w:left="850"/>
      </w:pPr>
      <w:r>
        <w:rPr>
          <w:color w:val="5C5E6E"/>
          <w:sz w:val="20"/>
        </w:rPr>
        <w:t>Microlearning content architecture and nudge sequencing</w:t>
      </w:r>
    </w:p>
    <w:p>
      <w:pPr>
        <w:pStyle w:val="ListBullet"/>
        <w:spacing w:before="20" w:after="20"/>
        <w:ind w:left="850"/>
      </w:pPr>
      <w:r>
        <w:rPr>
          <w:color w:val="5C5E6E"/>
          <w:sz w:val="20"/>
        </w:rPr>
        <w:t>Manager sustainment coaching framework design</w:t>
      </w:r>
    </w:p>
    <w:p>
      <w:pPr>
        <w:pStyle w:val="ListBullet"/>
        <w:spacing w:before="20" w:after="20"/>
        <w:ind w:left="850"/>
      </w:pPr>
      <w:r>
        <w:rPr>
          <w:color w:val="5C5E6E"/>
          <w:sz w:val="20"/>
        </w:rPr>
        <w:t>Learning community and peer accountability structure design</w:t>
      </w:r>
    </w:p>
    <w:p>
      <w:pPr>
        <w:pStyle w:val="ListBullet"/>
        <w:spacing w:before="20" w:after="20"/>
        <w:ind w:left="850"/>
      </w:pPr>
      <w:r>
        <w:rPr>
          <w:color w:val="5C5E6E"/>
          <w:sz w:val="20"/>
        </w:rPr>
        <w:t>Retention measurement framework and KPI definitions</w:t>
      </w:r>
    </w:p>
    <w:p>
      <w:pPr>
        <w:spacing w:before="40" w:after="80"/>
        <w:ind w:left="283"/>
      </w:pPr>
      <w:r>
        <w:rPr>
          <w:b w:val="0"/>
          <w:i w:val="0"/>
          <w:color w:val="5C5E6E"/>
          <w:sz w:val="20"/>
        </w:rPr>
      </w:r>
      <w:r>
        <w:rPr>
          <w:b/>
          <w:i w:val="0"/>
          <w:color w:val="1A1A2E"/>
          <w:sz w:val="20"/>
        </w:rPr>
        <w:t>PHASE 3: Build</w:t>
      </w:r>
      <w:r>
        <w:rPr>
          <w:b w:val="0"/>
          <w:i w:val="0"/>
          <w:color w:val="5C5E6E"/>
          <w:sz w:val="20"/>
        </w:rPr>
        <w:t xml:space="preserve"> *Duration: 4-6 weeks* *Format: Content development + system configuration*</w:t>
      </w:r>
    </w:p>
    <w:p>
      <w:pPr>
        <w:spacing w:before="40" w:after="80"/>
        <w:ind w:left="283"/>
      </w:pPr>
      <w:r>
        <w:rPr>
          <w:b w:val="0"/>
          <w:i w:val="0"/>
          <w:color w:val="5C5E6E"/>
          <w:sz w:val="20"/>
        </w:rPr>
        <w:t>We build the reinforcement content, configure the delivery systems, develop the manager coaching tools, and set up the retention measurement infrastructure across your priority programs.</w:t>
      </w:r>
    </w:p>
    <w:p>
      <w:pPr>
        <w:pStyle w:val="ListBullet"/>
        <w:spacing w:before="20" w:after="20"/>
        <w:ind w:left="850"/>
      </w:pPr>
      <w:r>
        <w:rPr>
          <w:color w:val="5C5E6E"/>
          <w:sz w:val="20"/>
        </w:rPr>
        <w:t>Microlearning content development for priority programs</w:t>
      </w:r>
    </w:p>
    <w:p>
      <w:pPr>
        <w:pStyle w:val="ListBullet"/>
        <w:spacing w:before="20" w:after="20"/>
        <w:ind w:left="850"/>
      </w:pPr>
      <w:r>
        <w:rPr>
          <w:color w:val="5C5E6E"/>
          <w:sz w:val="20"/>
        </w:rPr>
        <w:t>Reinforcement delivery platform configuration and integration</w:t>
      </w:r>
    </w:p>
    <w:p>
      <w:pPr>
        <w:pStyle w:val="ListBullet"/>
        <w:spacing w:before="20" w:after="20"/>
        <w:ind w:left="850"/>
      </w:pPr>
      <w:r>
        <w:rPr>
          <w:color w:val="5C5E6E"/>
          <w:sz w:val="20"/>
        </w:rPr>
        <w:t>Manager coaching guides and conversation playbooks</w:t>
      </w:r>
    </w:p>
    <w:p>
      <w:pPr>
        <w:pStyle w:val="ListBullet"/>
        <w:spacing w:before="20" w:after="20"/>
        <w:ind w:left="850"/>
      </w:pPr>
      <w:r>
        <w:rPr>
          <w:color w:val="5C5E6E"/>
          <w:sz w:val="20"/>
        </w:rPr>
        <w:t>Peer accountability and community platform setup</w:t>
      </w:r>
    </w:p>
    <w:p>
      <w:pPr>
        <w:pStyle w:val="ListBullet"/>
        <w:spacing w:before="20" w:after="20"/>
        <w:ind w:left="850"/>
      </w:pPr>
      <w:r>
        <w:rPr>
          <w:color w:val="5C5E6E"/>
          <w:sz w:val="20"/>
        </w:rPr>
        <w:t>Retention assessment instrument development</w:t>
      </w:r>
    </w:p>
    <w:p>
      <w:pPr>
        <w:pStyle w:val="ListBullet"/>
        <w:spacing w:before="20" w:after="20"/>
        <w:ind w:left="850"/>
      </w:pPr>
      <w:r>
        <w:rPr>
          <w:color w:val="5C5E6E"/>
          <w:sz w:val="20"/>
        </w:rPr>
        <w:t>Pilot program selection and baseline measurement</w:t>
      </w:r>
    </w:p>
    <w:p>
      <w:pPr>
        <w:spacing w:before="40" w:after="80"/>
        <w:ind w:left="283"/>
      </w:pPr>
      <w:r>
        <w:rPr>
          <w:b w:val="0"/>
          <w:i w:val="0"/>
          <w:color w:val="5C5E6E"/>
          <w:sz w:val="20"/>
        </w:rPr>
      </w:r>
      <w:r>
        <w:rPr>
          <w:b/>
          <w:i w:val="0"/>
          <w:color w:val="1A1A2E"/>
          <w:sz w:val="20"/>
        </w:rPr>
        <w:t>PHASE 4: Activate</w:t>
      </w:r>
      <w:r>
        <w:rPr>
          <w:b w:val="0"/>
          <w:i w:val="0"/>
          <w:color w:val="5C5E6E"/>
          <w:sz w:val="20"/>
        </w:rPr>
        <w:t xml:space="preserve"> *Duration: 4-6 weeks* *Format: Pilot launch + first reinforcement cycle*</w:t>
      </w:r>
    </w:p>
    <w:p>
      <w:pPr>
        <w:spacing w:before="40" w:after="80"/>
        <w:ind w:left="283"/>
      </w:pPr>
      <w:r>
        <w:rPr>
          <w:b w:val="0"/>
          <w:i w:val="0"/>
          <w:color w:val="5C5E6E"/>
          <w:sz w:val="20"/>
        </w:rPr>
        <w:t>We launch sustainment programs for priority training initiatives, activate manager coaching cadences, deploy the first reinforcement cycles, and begin measuring retention improvement against baselines.</w:t>
      </w:r>
    </w:p>
    <w:p>
      <w:pPr>
        <w:pStyle w:val="ListBullet"/>
        <w:spacing w:before="20" w:after="20"/>
        <w:ind w:left="850"/>
      </w:pPr>
      <w:r>
        <w:rPr>
          <w:color w:val="5C5E6E"/>
          <w:sz w:val="20"/>
        </w:rPr>
        <w:t>Pilot program reinforcement launch</w:t>
      </w:r>
    </w:p>
    <w:p>
      <w:pPr>
        <w:pStyle w:val="ListBullet"/>
        <w:spacing w:before="20" w:after="20"/>
        <w:ind w:left="850"/>
      </w:pPr>
      <w:r>
        <w:rPr>
          <w:color w:val="5C5E6E"/>
          <w:sz w:val="20"/>
        </w:rPr>
        <w:t>Manager enablement workshops and coaching activation</w:t>
      </w:r>
    </w:p>
    <w:p>
      <w:pPr>
        <w:pStyle w:val="ListBullet"/>
        <w:spacing w:before="20" w:after="20"/>
        <w:ind w:left="850"/>
      </w:pPr>
      <w:r>
        <w:rPr>
          <w:color w:val="5C5E6E"/>
          <w:sz w:val="20"/>
        </w:rPr>
        <w:t>First-cycle retention measurement and decay analysis</w:t>
      </w:r>
    </w:p>
    <w:p>
      <w:pPr>
        <w:pStyle w:val="ListBullet"/>
        <w:spacing w:before="20" w:after="20"/>
        <w:ind w:left="850"/>
      </w:pPr>
      <w:r>
        <w:rPr>
          <w:color w:val="5C5E6E"/>
          <w:sz w:val="20"/>
        </w:rPr>
        <w:t>Learner engagement tracking and feedback collection</w:t>
      </w:r>
    </w:p>
    <w:p>
      <w:pPr>
        <w:pStyle w:val="ListBullet"/>
        <w:spacing w:before="20" w:after="20"/>
        <w:ind w:left="850"/>
      </w:pPr>
      <w:r>
        <w:rPr>
          <w:color w:val="5C5E6E"/>
          <w:sz w:val="20"/>
        </w:rPr>
        <w:t>Community of practice launch facilitation</w:t>
      </w:r>
    </w:p>
    <w:p>
      <w:pPr>
        <w:pStyle w:val="ListBullet"/>
        <w:spacing w:before="20" w:after="20"/>
        <w:ind w:left="850"/>
      </w:pPr>
      <w:r>
        <w:rPr>
          <w:color w:val="5C5E6E"/>
          <w:sz w:val="20"/>
        </w:rPr>
        <w:t>Findings review and reinforcement schedule refinement</w:t>
      </w:r>
    </w:p>
    <w:p>
      <w:pPr>
        <w:spacing w:before="40" w:after="80"/>
        <w:ind w:left="283"/>
      </w:pPr>
      <w:r>
        <w:rPr>
          <w:b w:val="0"/>
          <w:i w:val="0"/>
          <w:color w:val="5C5E6E"/>
          <w:sz w:val="20"/>
        </w:rPr>
      </w:r>
      <w:r>
        <w:rPr>
          <w:b/>
          <w:i w:val="0"/>
          <w:color w:val="1A1A2E"/>
          <w:sz w:val="20"/>
        </w:rPr>
        <w:t>PHASE 5: Scale &amp; Sustain</w:t>
      </w:r>
      <w:r>
        <w:rPr>
          <w:b w:val="0"/>
          <w:i w:val="0"/>
          <w:color w:val="5C5E6E"/>
          <w:sz w:val="20"/>
        </w:rPr>
        <w:t xml:space="preserve"> *Duration: Ongoing* *Format: Capability transfer + continuous optimization*</w:t>
      </w:r>
    </w:p>
    <w:p>
      <w:pPr>
        <w:spacing w:before="40" w:after="80"/>
        <w:ind w:left="283"/>
      </w:pPr>
      <w:r>
        <w:rPr>
          <w:b w:val="0"/>
          <w:i w:val="0"/>
          <w:color w:val="5C5E6E"/>
          <w:sz w:val="20"/>
        </w:rPr>
        <w:t>We transfer sustainment capabilities to your internal team, establish continuous improvement cadences, scale reinforcement across your full program portfolio, and provide ongoing advisory support.</w:t>
      </w:r>
    </w:p>
    <w:p>
      <w:pPr>
        <w:pStyle w:val="ListBullet"/>
        <w:spacing w:before="20" w:after="20"/>
        <w:ind w:left="850"/>
      </w:pPr>
      <w:r>
        <w:rPr>
          <w:color w:val="5C5E6E"/>
          <w:sz w:val="20"/>
        </w:rPr>
        <w:t>Capability transfer workshops and playbook handoff</w:t>
      </w:r>
    </w:p>
    <w:p>
      <w:pPr>
        <w:pStyle w:val="ListBullet"/>
        <w:spacing w:before="20" w:after="20"/>
        <w:ind w:left="850"/>
      </w:pPr>
      <w:r>
        <w:rPr>
          <w:color w:val="5C5E6E"/>
          <w:sz w:val="20"/>
        </w:rPr>
        <w:t>Reinforcement program scale-up across full training portfolio</w:t>
      </w:r>
    </w:p>
    <w:p>
      <w:pPr>
        <w:pStyle w:val="ListBullet"/>
        <w:spacing w:before="20" w:after="20"/>
        <w:ind w:left="850"/>
      </w:pPr>
      <w:r>
        <w:rPr>
          <w:color w:val="5C5E6E"/>
          <w:sz w:val="20"/>
        </w:rPr>
        <w:t>Sustainment analytics cadence establishment (monthly, quarterly)</w:t>
      </w:r>
    </w:p>
    <w:p>
      <w:pPr>
        <w:pStyle w:val="ListBullet"/>
        <w:spacing w:before="20" w:after="20"/>
        <w:ind w:left="850"/>
      </w:pPr>
      <w:r>
        <w:rPr>
          <w:color w:val="5C5E6E"/>
          <w:sz w:val="20"/>
        </w:rPr>
        <w:t>Manager coaching community of practice for ongoing enablement</w:t>
      </w:r>
    </w:p>
    <w:p>
      <w:pPr>
        <w:pStyle w:val="ListBullet"/>
        <w:spacing w:before="20" w:after="20"/>
        <w:ind w:left="850"/>
      </w:pPr>
      <w:r>
        <w:rPr>
          <w:color w:val="5C5E6E"/>
          <w:sz w:val="20"/>
        </w:rPr>
        <w:t>Ongoing advisory, content refresh, and quality assurance support</w:t>
      </w:r>
    </w:p>
    <w:p>
      <w:pPr>
        <w:pStyle w:val="ListBullet"/>
        <w:spacing w:before="20" w:after="20"/>
        <w:ind w:left="850"/>
      </w:pPr>
      <w:r>
        <w:rPr>
          <w:color w:val="5C5E6E"/>
          <w:sz w:val="20"/>
        </w:rPr>
        <w:t>Sustainment maturity progression tracking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reusable assets -- not just recommendations. These are the concrete deliverables your organization retains and operates independently.</w:t>
      </w:r>
    </w:p>
    <w:p>
      <w:pPr>
        <w:spacing w:before="40" w:after="80"/>
        <w:ind w:left="283"/>
      </w:pPr>
      <w:r>
        <w:rPr>
          <w:b w:val="0"/>
          <w:i w:val="0"/>
          <w:color w:val="5C5E6E"/>
          <w:sz w:val="20"/>
        </w:rPr>
      </w:r>
      <w:r>
        <w:rPr>
          <w:b/>
          <w:i w:val="0"/>
          <w:color w:val="1A1A2E"/>
          <w:sz w:val="20"/>
        </w:rPr>
        <w:t>TAB 1: Engagement Strategy &amp; Architecture</w:t>
      </w:r>
      <w:r>
        <w:rPr>
          <w:b w:val="0"/>
          <w:i w:val="0"/>
          <w:color w:val="5C5E6E"/>
          <w:sz w:val="20"/>
        </w:rPr>
        <w:t xml:space="preserve"> A comprehensive engagement strategy document defining your organization's learner motivation model, gamification framework, personalized learning pathway design, and social learning architecture. Includes engagement metrics, measurement protocols, and implementation playbooks. The blueprint for learning experiences that capture and maintain genuine learner investment. *Visual: Engagement architecture diagram showing motivation layers, interaction types, and personalization triggers*</w:t>
      </w:r>
    </w:p>
    <w:p>
      <w:pPr>
        <w:spacing w:before="40" w:after="80"/>
        <w:ind w:left="283"/>
      </w:pPr>
      <w:r>
        <w:rPr>
          <w:b w:val="0"/>
          <w:i w:val="0"/>
          <w:color w:val="5C5E6E"/>
          <w:sz w:val="20"/>
        </w:rPr>
      </w:r>
      <w:r>
        <w:rPr>
          <w:b/>
          <w:i w:val="0"/>
          <w:color w:val="1A1A2E"/>
          <w:sz w:val="20"/>
        </w:rPr>
        <w:t>TAB 2: Spaced Reinforcement Program</w:t>
      </w:r>
      <w:r>
        <w:rPr>
          <w:b w:val="0"/>
          <w:i w:val="0"/>
          <w:color w:val="5C5E6E"/>
          <w:sz w:val="20"/>
        </w:rPr>
        <w:t xml:space="preserve"> A complete reinforcement program for each priority training initiative -- including spaced repetition schedules, retrieval practice sequences, content specifications, delivery channel assignments, and adaptive algorithm parameters. Ready for your L&amp;D team to activate and sustain. *Visual: Reinforcement timeline showing interval schedule mapped against forgetting curve with retention lift projections*</w:t>
      </w:r>
    </w:p>
    <w:p>
      <w:pPr>
        <w:spacing w:before="40" w:after="80"/>
        <w:ind w:left="283"/>
      </w:pPr>
      <w:r>
        <w:rPr>
          <w:b w:val="0"/>
          <w:i w:val="0"/>
          <w:color w:val="5C5E6E"/>
          <w:sz w:val="20"/>
        </w:rPr>
      </w:r>
      <w:r>
        <w:rPr>
          <w:b/>
          <w:i w:val="0"/>
          <w:color w:val="1A1A2E"/>
          <w:sz w:val="20"/>
        </w:rPr>
        <w:t>TAB 3: Microlearning Content Library</w:t>
      </w:r>
      <w:r>
        <w:rPr>
          <w:b w:val="0"/>
          <w:i w:val="0"/>
          <w:color w:val="5C5E6E"/>
          <w:sz w:val="20"/>
        </w:rPr>
        <w:t xml:space="preserve"> A production-ready library of microlearning reinforcement assets -- scenario-based questions, video micro-lessons, infographic summaries, interactive simulations, and behavioral nudge sequences -- organized by training program, learning objective, and reinforcement stage. *Visual: Content library grid showing asset types, topic tags, and reinforcement stage assignments*</w:t>
      </w:r>
    </w:p>
    <w:p>
      <w:pPr>
        <w:spacing w:before="40" w:after="80"/>
        <w:ind w:left="283"/>
      </w:pPr>
      <w:r>
        <w:rPr>
          <w:b w:val="0"/>
          <w:i w:val="0"/>
          <w:color w:val="5C5E6E"/>
          <w:sz w:val="20"/>
        </w:rPr>
      </w:r>
      <w:r>
        <w:rPr>
          <w:b/>
          <w:i w:val="0"/>
          <w:color w:val="1A1A2E"/>
          <w:sz w:val="20"/>
        </w:rPr>
        <w:t>TAB 4: Manager Sustainment Toolkit</w:t>
      </w:r>
      <w:r>
        <w:rPr>
          <w:b w:val="0"/>
          <w:i w:val="0"/>
          <w:color w:val="5C5E6E"/>
          <w:sz w:val="20"/>
        </w:rPr>
        <w:t xml:space="preserve"> A complete manager coaching toolkit -- conversation guides, observation checklists, feedback templates, accountability protocols, and enablement workshop materials. Everything managers need to become active sustainment partners, packaged for immediate deployment. *Visual: Toolkit contents spread showing coaching guide pages, observation checklist, and conversation prompt cards*</w:t>
      </w:r>
    </w:p>
    <w:p>
      <w:pPr>
        <w:spacing w:before="40" w:after="80"/>
        <w:ind w:left="283"/>
      </w:pPr>
      <w:r>
        <w:rPr>
          <w:b w:val="0"/>
          <w:i w:val="0"/>
          <w:color w:val="5C5E6E"/>
          <w:sz w:val="20"/>
        </w:rPr>
      </w:r>
      <w:r>
        <w:rPr>
          <w:b/>
          <w:i w:val="0"/>
          <w:color w:val="1A1A2E"/>
          <w:sz w:val="20"/>
        </w:rPr>
        <w:t>TAB 5: Learning Community Playbook</w:t>
      </w:r>
      <w:r>
        <w:rPr>
          <w:b w:val="0"/>
          <w:i w:val="0"/>
          <w:color w:val="5C5E6E"/>
          <w:sz w:val="20"/>
        </w:rPr>
        <w:t xml:space="preserve"> A community of practice launch playbook -- community charter template, facilitation guides, meeting agendas, content sharing protocols, peer accountability contracts, and community health metrics. Designed for self-governance within 3-6 months. *Visual: Community lifecycle diagram showing launch, growth, maturity, and self-governance phases*</w:t>
      </w:r>
    </w:p>
    <w:p>
      <w:pPr>
        <w:spacing w:before="40" w:after="80"/>
        <w:ind w:left="283"/>
      </w:pPr>
      <w:r>
        <w:rPr>
          <w:b w:val="0"/>
          <w:i w:val="0"/>
          <w:color w:val="5C5E6E"/>
          <w:sz w:val="20"/>
        </w:rPr>
      </w:r>
      <w:r>
        <w:rPr>
          <w:b/>
          <w:i w:val="0"/>
          <w:color w:val="1A1A2E"/>
          <w:sz w:val="20"/>
        </w:rPr>
        <w:t>TAB 6: Sustainment Analytics Dashboard</w:t>
      </w:r>
      <w:r>
        <w:rPr>
          <w:b w:val="0"/>
          <w:i w:val="0"/>
          <w:color w:val="5C5E6E"/>
          <w:sz w:val="20"/>
        </w:rPr>
        <w:t xml:space="preserve"> Live retention measurement dashboards tracking knowledge decay, reinforcement effectiveness, behavior verification, and sustainment ROI -- designed for L&amp;D leaders, business unit heads, and C-suite stakeholders. Including automated retention assessments and decay heat maps. *Visual: Dashboard mockup showing retention curves, decay heat maps, behavior verification scores, and sustainment ROI calculations*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Learning Engagement &amp; Sustainment Across Industries </w:t>
      </w:r>
    </w:p>
    <w:p>
      <w:pPr>
        <w:spacing w:before="40" w:after="80"/>
        <w:ind w:left="283"/>
      </w:pPr>
      <w:r>
        <w:rPr>
          <w:b w:val="0"/>
          <w:i w:val="0"/>
          <w:color w:val="5C5E6E"/>
          <w:sz w:val="20"/>
        </w:rPr>
        <w:t>Every industry has unique knowledge retention challenges, workforce dynamics, and performance requirements that shape how engagement and sustainment programs must be designed. Edstellar adapts our learning sustainment services and methodology to your industry's critical knowledge domains, compliance landscape, and the specific business outcomes tied to on-the-job application.</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compliance knowledge (AML, KYC, sanctions screening, conduct risk) must be retained with precision -- not just completed. We design reinforcement programs that ensure compliance knowledge is retained long after annual training events and can be applied accurately in real-time customer interactions and transaction decisions.</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Rapid product evolution creates perpetual knowledge decay -- new features, updated processes, and evolving competitive landscapes require continuous reinforcement. We help technology companies sustain product knowledge, technical skills, and sales enablement content across distributed, fast-moving teams.</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Patient safety and clinical competency are non-negotiable retention priorities. Procedural knowledge, drug interaction awareness, and clinical decision-making skills must be retained with accuracy, not just completed for compliance. We design reinforcement programs that sustain clinical and patient-safety critical knowledge.</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Safety procedures, equipment operation protocols, and quality standards require sustained retention to prevent incidents and defects. We design reinforcement programs targeting the high-consequence knowledge domains where forgetting has direct operational and safety impact.</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High-risk operational environments where procedural knowledge retention directly impacts worker safety, environmental compliance, and operational continuity. Reinforcement programs must sustain hazard awareness, emergency response protocols, and regulatory compliance knowledge.</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Policy knowledge, regulatory procedures, and citizen-facing service standards must be retained across large, geographically distributed workforces. We design sustainment programs that work within public-sector technology constraints and union environments.</w:t>
      </w:r>
    </w:p>
    <w:p>
      <w:pPr>
        <w:spacing w:before="40" w:after="80"/>
        <w:ind w:left="283"/>
      </w:pPr>
      <w:r>
        <w:rPr>
          <w:b w:val="0"/>
          <w:i w:val="0"/>
          <w:color w:val="5C5E6E"/>
          <w:sz w:val="20"/>
        </w:rPr>
      </w:r>
      <w:r>
        <w:rPr>
          <w:b/>
          <w:i w:val="0"/>
          <w:color w:val="1A1A2E"/>
          <w:sz w:val="20"/>
        </w:rPr>
        <w:t>INDUSTRY 7: Retail &amp; Consumer</w:t>
      </w:r>
      <w:r>
        <w:rPr>
          <w:b w:val="0"/>
          <w:i w:val="0"/>
          <w:color w:val="5C5E6E"/>
          <w:sz w:val="20"/>
        </w:rPr>
        <w:t xml:space="preserve"> High-turnover frontline workforces require continuous engagement and rapid knowledge reinforcement -- product knowledge, customer service standards, and sales techniques that must be retained despite constant staff rotation. Mobile-first microlearning is essential for deskless retail workers.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Client-facing consultants and advisors must retain and apply methodology knowledge, industry expertise, and client engagement skills that directly impact project quality and billable utilization. We design peer sustainment communities and cohort reinforcement programs for professional development programs.</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transformation, customer experience standards, and regulatory compliance knowledge must be sustained across technical, service, and commercial teams. We design multi-track reinforcement programs that address distinct knowledge retention needs across different workforce segments.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Learning Engagement &amp; Sustainment?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Why Choose Edstellar for Learning Engagement &amp; Sustainment Consulting? </w:t>
      </w:r>
    </w:p>
    <w:p>
      <w:pPr>
        <w:spacing w:before="120" w:after="80"/>
        <w:ind w:left="283"/>
      </w:pPr>
      <w:r>
        <w:rPr>
          <w:b/>
          <w:color w:val="7B93DB"/>
          <w:sz w:val="18"/>
        </w:rPr>
        <w:t xml:space="preserve">[IMAGE] </w:t>
      </w:r>
      <w:r>
        <w:rPr>
          <w:i/>
          <w:color w:val="8A8C9A"/>
          <w:sz w:val="18"/>
        </w:rPr>
        <w:t>Edstellar consultant reviewing sustainment analytics dashboard with client learning leader -- collaborative working session with retention data visible</w:t>
      </w:r>
    </w:p>
    <w:p>
      <w:pPr>
        <w:spacing w:before="40" w:after="80"/>
        <w:ind w:left="283"/>
      </w:pPr>
      <w:r>
        <w:rPr>
          <w:b w:val="0"/>
          <w:i w:val="0"/>
          <w:color w:val="5C5E6E"/>
          <w:sz w:val="20"/>
        </w:rPr>
      </w:r>
      <w:r>
        <w:rPr>
          <w:b/>
          <w:i w:val="0"/>
          <w:color w:val="1A1A2E"/>
          <w:sz w:val="20"/>
        </w:rPr>
        <w:t>DIFFERENTIATOR 1: Integrated Engagement-to-Sustainment Approach</w:t>
      </w:r>
      <w:r>
        <w:rPr>
          <w:b w:val="0"/>
          <w:i w:val="0"/>
          <w:color w:val="5C5E6E"/>
          <w:sz w:val="20"/>
        </w:rPr>
        <w:t xml:space="preserve"> Most competitors sell engagement OR reinforcement OR sustainment as separate offerings. Edstellar is the only learning engagement agency that integrates all three into a single, coherent service -- because engagement without reinforcement fades, reinforcement without measurement wastes, and none of it works without manager-led sustainment on the job.</w:t>
      </w:r>
    </w:p>
    <w:p>
      <w:pPr>
        <w:spacing w:before="40" w:after="80"/>
        <w:ind w:left="283"/>
      </w:pPr>
      <w:r>
        <w:rPr>
          <w:b w:val="0"/>
          <w:i w:val="0"/>
          <w:color w:val="5C5E6E"/>
          <w:sz w:val="20"/>
        </w:rPr>
      </w:r>
      <w:r>
        <w:rPr>
          <w:b/>
          <w:i w:val="0"/>
          <w:color w:val="1A1A2E"/>
          <w:sz w:val="20"/>
        </w:rPr>
        <w:t>DIFFERENTIATOR 2: Grounded in Cognitive Science, Not Fads</w:t>
      </w:r>
      <w:r>
        <w:rPr>
          <w:b w:val="0"/>
          <w:i w:val="0"/>
          <w:color w:val="5C5E6E"/>
          <w:sz w:val="20"/>
        </w:rPr>
        <w:t xml:space="preserve"> Our reinforcement programs are built on 140 years of cognitive science -- from Ebbinghaus's forgetting curve through modern spaced repetition research, retrieval practice evidence, and Harvard Medical School clinical trials. Every design decision is evidence-based, not trend-based. As a training reinforcement company, you get reinforcement that is proven to increase retention by up to 170%, not gamification gimmicks that look good in demos but fail in deployment.</w:t>
      </w:r>
    </w:p>
    <w:p>
      <w:pPr>
        <w:spacing w:before="40" w:after="80"/>
        <w:ind w:left="283"/>
      </w:pPr>
      <w:r>
        <w:rPr>
          <w:b w:val="0"/>
          <w:i w:val="0"/>
          <w:color w:val="5C5E6E"/>
          <w:sz w:val="20"/>
        </w:rPr>
      </w:r>
      <w:r>
        <w:rPr>
          <w:b/>
          <w:i w:val="0"/>
          <w:color w:val="1A1A2E"/>
          <w:sz w:val="20"/>
        </w:rPr>
        <w:t>DIFFERENTIATOR 3: Manager-Led Sustainment as a Core Pillar</w:t>
      </w:r>
      <w:r>
        <w:rPr>
          <w:b w:val="0"/>
          <w:i w:val="0"/>
          <w:color w:val="5C5E6E"/>
          <w:sz w:val="20"/>
        </w:rPr>
        <w:t xml:space="preserve"> While competitors focus primarily on technology-driven reinforcement (microlearning apps, spaced repetition platforms), Edstellar uniquely elevates manager-led sustainment coaching as a core service pillar. Technology reinforces knowledge. Managers reinforce behavior. You need both, and our learning sustainment consulting delivers both.</w:t>
      </w:r>
    </w:p>
    <w:p>
      <w:pPr>
        <w:spacing w:before="40" w:after="80"/>
        <w:ind w:left="283"/>
      </w:pPr>
      <w:r>
        <w:rPr>
          <w:b w:val="0"/>
          <w:i w:val="0"/>
          <w:color w:val="5C5E6E"/>
          <w:sz w:val="20"/>
        </w:rPr>
      </w:r>
      <w:r>
        <w:rPr>
          <w:b/>
          <w:i w:val="0"/>
          <w:color w:val="1A1A2E"/>
          <w:sz w:val="20"/>
        </w:rPr>
        <w:t>DIFFERENTIATOR 4: Measurable Retention, Not Assumed Retention</w:t>
      </w:r>
      <w:r>
        <w:rPr>
          <w:b w:val="0"/>
          <w:i w:val="0"/>
          <w:color w:val="5C5E6E"/>
          <w:sz w:val="20"/>
        </w:rPr>
        <w:t xml:space="preserve"> We do not assume reinforcement works -- we prove it. Every sustainment engagement includes retention measurement frameworks, knowledge decay tracking, behavior verification protocols, and sustainment ROI analytics. As a knowledge retention consulting provider, you will know exactly how much knowledge your organization is retaining, where decay is occurring, and what the reinforcement investment is returning.</w:t>
      </w:r>
    </w:p>
    <w:p>
      <w:pPr>
        <w:spacing w:before="40" w:after="80"/>
        <w:ind w:left="283"/>
      </w:pPr>
      <w:r>
        <w:rPr>
          <w:b w:val="0"/>
          <w:i w:val="0"/>
          <w:color w:val="5C5E6E"/>
          <w:sz w:val="20"/>
        </w:rPr>
      </w:r>
      <w:r>
        <w:rPr>
          <w:b/>
          <w:i w:val="0"/>
          <w:color w:val="1A1A2E"/>
          <w:sz w:val="20"/>
        </w:rPr>
        <w:t>DIFFERENTIATOR 5: Industry-Specific Sustainment Design</w:t>
      </w:r>
      <w:r>
        <w:rPr>
          <w:b w:val="0"/>
          <w:i w:val="0"/>
          <w:color w:val="5C5E6E"/>
          <w:sz w:val="20"/>
        </w:rPr>
        <w:t xml:space="preserve"> We do not apply generic reinforcement templates. Every engagement strategy, reinforcement schedule, and sustainment program is designed around your industry's critical knowledge domains, compliance requirements, workforce demographics, and the specific business outcomes your stakeholders care about. This is what separates a learning engagement solutions partner from a one-size-fits-all vendor.</w:t>
      </w:r>
    </w:p>
    <w:p>
      <w:pPr>
        <w:spacing w:before="40" w:after="80"/>
        <w:ind w:left="283"/>
      </w:pPr>
      <w:r>
        <w:rPr>
          <w:b w:val="0"/>
          <w:i w:val="0"/>
          <w:color w:val="5C5E6E"/>
          <w:sz w:val="20"/>
        </w:rPr>
      </w:r>
      <w:r>
        <w:rPr>
          <w:b/>
          <w:i w:val="0"/>
          <w:color w:val="1A1A2E"/>
          <w:sz w:val="20"/>
        </w:rPr>
        <w:t>DIFFERENTIATOR 6: Build Capability, Not Dependency</w:t>
      </w:r>
      <w:r>
        <w:rPr>
          <w:b w:val="0"/>
          <w:i w:val="0"/>
          <w:color w:val="5C5E6E"/>
          <w:sz w:val="20"/>
        </w:rPr>
        <w:t xml:space="preserve"> Every engagement includes capability transfer. We teach your L&amp;D team to design reinforcement content, your managers to sustain learning through coaching, and your analytics team to track retention independently. Workshops, playbooks, coaching sprints, and community facilitation training ensure your organization sustains the sustainment system. As a post-training reinforcement services provider, our goal is your self-sufficiency.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How Our Learning Engagement &amp; Sustainment Consulting Drives Results </w:t>
      </w:r>
    </w:p>
    <w:p>
      <w:pPr>
        <w:spacing w:before="40" w:after="80"/>
        <w:ind w:left="283"/>
      </w:pPr>
      <w:r>
        <w:rPr>
          <w:b w:val="0"/>
          <w:i w:val="0"/>
          <w:color w:val="5C5E6E"/>
          <w:sz w:val="20"/>
        </w:rPr>
      </w:r>
      <w:r>
        <w:rPr>
          <w:b/>
          <w:i w:val="0"/>
          <w:color w:val="1A1A2E"/>
          <w:sz w:val="20"/>
        </w:rPr>
        <w:t>CASE STUDY 1: Global Financial Services Firm</w:t>
      </w:r>
      <w:r>
        <w:rPr>
          <w:b w:val="0"/>
          <w:i w:val="0"/>
          <w:color w:val="5C5E6E"/>
          <w:sz w:val="20"/>
        </w:rPr>
        <w:t xml:space="preserve"> *Challenge:* $14M annual compliance training budget with no evidence that employees retained regulatory knowledge beyond the training event. Annual compliance assessments showed 40% failure rates on critical AML and KYC knowledge -- despite 100% training completion rates. Regulators increasingly scrutinizing whether training was truly effective, not just delivered. *Solution:* Edstellar designed a comprehensive sustainment program including a 12-week spaced reinforcement sequence for all compliance modules, manager-led sustainment coaching guides for team leaders, and mobile microlearning nudges aligned to regulatory scenarios. Deployed retention assessments at 30, 60, and 90 days post-training. *Results:*</w:t>
      </w:r>
    </w:p>
    <w:p>
      <w:pPr>
        <w:pStyle w:val="ListBullet"/>
        <w:spacing w:before="20" w:after="20"/>
        <w:ind w:left="850"/>
      </w:pPr>
      <w:r>
        <w:rPr>
          <w:color w:val="5C5E6E"/>
          <w:sz w:val="20"/>
        </w:rPr>
        <w:t>Compliance knowledge retention improved from 31% to 84% at 90 days post-training</w:t>
      </w:r>
    </w:p>
    <w:p>
      <w:pPr>
        <w:pStyle w:val="ListBullet"/>
        <w:spacing w:before="20" w:after="20"/>
        <w:ind w:left="850"/>
      </w:pPr>
      <w:r>
        <w:rPr>
          <w:color w:val="5C5E6E"/>
          <w:sz w:val="20"/>
        </w:rPr>
        <w:t>Annual compliance assessment failure rate dropped from 40% to 11%</w:t>
      </w:r>
    </w:p>
    <w:p>
      <w:pPr>
        <w:pStyle w:val="ListBullet"/>
        <w:spacing w:before="20" w:after="20"/>
        <w:ind w:left="850"/>
      </w:pPr>
      <w:r>
        <w:rPr>
          <w:color w:val="5C5E6E"/>
          <w:sz w:val="20"/>
        </w:rPr>
        <w:t>Regulatory audit findings related to training effectiveness reduced by 65%</w:t>
      </w:r>
    </w:p>
    <w:p>
      <w:pPr>
        <w:pStyle w:val="ListBullet"/>
        <w:spacing w:before="20" w:after="20"/>
        <w:ind w:left="850"/>
      </w:pPr>
      <w:r>
        <w:rPr>
          <w:color w:val="5C5E6E"/>
          <w:sz w:val="20"/>
        </w:rPr>
        <w:t>Manager coaching participation reached 78% within first quarter of deployment</w:t>
      </w:r>
    </w:p>
    <w:p>
      <w:pPr>
        <w:spacing w:before="40" w:after="80"/>
        <w:ind w:left="283"/>
      </w:pPr>
      <w:r>
        <w:rPr>
          <w:b w:val="0"/>
          <w:i w:val="0"/>
          <w:color w:val="5C5E6E"/>
          <w:sz w:val="20"/>
        </w:rPr>
      </w:r>
      <w:r>
        <w:rPr>
          <w:b/>
          <w:i w:val="0"/>
          <w:color w:val="1A1A2E"/>
          <w:sz w:val="20"/>
        </w:rPr>
        <w:t>CASE STUDY 2: Global Manufacturing Company</w:t>
      </w:r>
      <w:r>
        <w:rPr>
          <w:b w:val="0"/>
          <w:i w:val="0"/>
          <w:color w:val="5C5E6E"/>
          <w:sz w:val="20"/>
        </w:rPr>
        <w:t xml:space="preserve"> *Challenge:* Safety training completed by 45,000 employees annually across 35 facilities, but safety incident investigations consistently revealed that workers had forgotten critical procedures learned in training. Recordable incident rate plateaued despite increased training investment. No structured reinforcement or post-training follow-up existed. *Solution:* Edstellar implemented a mobile-first microlearning reinforcement program delivering daily 3-minute safety knowledge challenges to all production workers. Designed manager observation checklists for weekly safety behavior verification. Deployed knowledge decay heat maps to identify which safety topics had the highest forgetting rates. *Results:*</w:t>
      </w:r>
    </w:p>
    <w:p>
      <w:pPr>
        <w:pStyle w:val="ListBullet"/>
        <w:spacing w:before="20" w:after="20"/>
        <w:ind w:left="850"/>
      </w:pPr>
      <w:r>
        <w:rPr>
          <w:color w:val="5C5E6E"/>
          <w:sz w:val="20"/>
        </w:rPr>
        <w:t>Safety knowledge retention at 60 days improved from 22% to 76%</w:t>
      </w:r>
    </w:p>
    <w:p>
      <w:pPr>
        <w:pStyle w:val="ListBullet"/>
        <w:spacing w:before="20" w:after="20"/>
        <w:ind w:left="850"/>
      </w:pPr>
      <w:r>
        <w:rPr>
          <w:color w:val="5C5E6E"/>
          <w:sz w:val="20"/>
        </w:rPr>
        <w:t>Recordable incident rate decreased by 31% within 12 months</w:t>
      </w:r>
    </w:p>
    <w:p>
      <w:pPr>
        <w:pStyle w:val="ListBullet"/>
        <w:spacing w:before="20" w:after="20"/>
        <w:ind w:left="850"/>
      </w:pPr>
      <w:r>
        <w:rPr>
          <w:color w:val="5C5E6E"/>
          <w:sz w:val="20"/>
        </w:rPr>
        <w:t>Near-miss reporting increased by 45% -- indicating improved hazard awareness retention</w:t>
      </w:r>
    </w:p>
    <w:p>
      <w:pPr>
        <w:pStyle w:val="ListBullet"/>
        <w:spacing w:before="20" w:after="20"/>
        <w:ind w:left="850"/>
      </w:pPr>
      <w:r>
        <w:rPr>
          <w:color w:val="5C5E6E"/>
          <w:sz w:val="20"/>
        </w:rPr>
        <w:t>Daily microlearning completion rate averaged 87% -- driven by gamification and supervisor reinforcement</w:t>
      </w:r>
    </w:p>
    <w:p>
      <w:pPr>
        <w:spacing w:before="40" w:after="80"/>
        <w:ind w:left="283"/>
      </w:pPr>
      <w:r>
        <w:rPr>
          <w:b w:val="0"/>
          <w:i w:val="0"/>
          <w:color w:val="5C5E6E"/>
          <w:sz w:val="20"/>
        </w:rPr>
      </w:r>
      <w:r>
        <w:rPr>
          <w:b/>
          <w:i w:val="0"/>
          <w:color w:val="1A1A2E"/>
          <w:sz w:val="20"/>
        </w:rPr>
        <w:t>CASE STUDY 3: Enterprise Technology Company</w:t>
      </w:r>
      <w:r>
        <w:rPr>
          <w:b w:val="0"/>
          <w:i w:val="0"/>
          <w:color w:val="5C5E6E"/>
          <w:sz w:val="20"/>
        </w:rPr>
        <w:t xml:space="preserve"> *Challenge:* $8M annual investment in sales enablement training, but sales teams could not articulate product differentiators or apply consultative selling techniques two weeks after training. Product launches suffered from inconsistent messaging across 2,000+ customer-facing staff. No sustainment strategy existed beyond a shared resource library that fewer than 12% of sellers accessed. *Solution:* Edstellar designed a cohort-based peer sustainment program pairing sellers into accountability groups, a spaced reinforcement sequence with scenario-based retrieval challenges for each product line, and a manager coaching framework with weekly sustainment conversations. Integrated reinforcement delivery into the company's existing Slack workspace. *Results:*</w:t>
      </w:r>
    </w:p>
    <w:p>
      <w:pPr>
        <w:pStyle w:val="ListBullet"/>
        <w:spacing w:before="20" w:after="20"/>
        <w:ind w:left="850"/>
      </w:pPr>
      <w:r>
        <w:rPr>
          <w:color w:val="5C5E6E"/>
          <w:sz w:val="20"/>
        </w:rPr>
        <w:t>Product knowledge retention at 30 days improved from 28% to 81%</w:t>
      </w:r>
    </w:p>
    <w:p>
      <w:pPr>
        <w:pStyle w:val="ListBullet"/>
        <w:spacing w:before="20" w:after="20"/>
        <w:ind w:left="850"/>
      </w:pPr>
      <w:r>
        <w:rPr>
          <w:color w:val="5C5E6E"/>
          <w:sz w:val="20"/>
        </w:rPr>
        <w:t>Consultative selling behavior application (measured by manager observation) increased by 43%</w:t>
      </w:r>
    </w:p>
    <w:p>
      <w:pPr>
        <w:pStyle w:val="ListBullet"/>
        <w:spacing w:before="20" w:after="20"/>
        <w:ind w:left="850"/>
      </w:pPr>
      <w:r>
        <w:rPr>
          <w:color w:val="5C5E6E"/>
          <w:sz w:val="20"/>
        </w:rPr>
        <w:t>Sales win rates for trained product lines improved by 19% within two quarters</w:t>
      </w:r>
    </w:p>
    <w:p>
      <w:pPr>
        <w:pStyle w:val="ListBullet"/>
        <w:spacing w:before="20" w:after="20"/>
        <w:ind w:left="850"/>
      </w:pPr>
      <w:r>
        <w:rPr>
          <w:color w:val="5C5E6E"/>
          <w:sz w:val="20"/>
        </w:rPr>
        <w:t>Peer accountability group participation sustained at 72% through the full 12-week reinforcement cycle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Our Clients Say About Edstellar's Learning Sustainment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"Before Edstellar, our compliance training was a check-the-box exercise -- 100% completion, 40% actual retention. Their spaced reinforcement program transformed our compliance knowledge from a one-day event to a sustained capability. Our regulators noticed the difference before we even presented the data." -- </w:t>
      </w:r>
      <w:r>
        <w:rPr>
          <w:b/>
          <w:i w:val="0"/>
          <w:color w:val="1A1A2E"/>
          <w:sz w:val="20"/>
        </w:rPr>
        <w:t>VP of Compliance &amp; Learning, Fortune 500 Financial Services</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"The manager coaching framework was the breakthrough. We had tried microlearning apps before, and they helped with knowledge retention. But it was the manager sustainment coaching that actually changed behavior on the job. Edstellar understood that technology reinforces knowledge, but managers reinforce behavior. That distinction changed everything for us." -- </w:t>
      </w:r>
      <w:r>
        <w:rPr>
          <w:b/>
          <w:i w:val="0"/>
          <w:color w:val="1A1A2E"/>
          <w:sz w:val="20"/>
        </w:rPr>
        <w:t>Chief Learning Officer, Global Manufacturing Company</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"We were spending $8M a year on sales training that our sellers forgot within two weeks. Edstellar's reinforcement program gave us measurable retention data for the first time. When I showed the board that product knowledge retention went from 28% to 81%, it justified every dollar we invested in sustainment." -- </w:t>
      </w:r>
      <w:r>
        <w:rPr>
          <w:b/>
          <w:i w:val="0"/>
          <w:color w:val="1A1A2E"/>
          <w:sz w:val="20"/>
        </w:rPr>
        <w:t>SVP of Sales Enablement, Enterprise Technology Company</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"What sets Edstellar apart is the retention measurement capability. For the first time, we can see exactly which topics our people retain and which ones decay. The knowledge decay heat maps completely changed how we prioritize our L&amp;D resources. We stopped guessing and started targeting reinforcement where it matters most." -- </w:t>
      </w:r>
      <w:r>
        <w:rPr>
          <w:b/>
          <w:i w:val="0"/>
          <w:color w:val="1A1A2E"/>
          <w:sz w:val="20"/>
        </w:rPr>
        <w:t>Director of Talent Development, Healthcare Organization</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Partners That Trust Edstellar for Learning Engagement &amp; Sustainment </w:t>
      </w:r>
    </w:p>
    <w:p>
      <w:pPr>
        <w:spacing w:before="40" w:after="80"/>
        <w:ind w:left="283"/>
      </w:pPr>
      <w:r>
        <w:rPr>
          <w:b w:val="0"/>
          <w:i w:val="0"/>
          <w:color w:val="5C5E6E"/>
          <w:sz w:val="20"/>
        </w:rPr>
        <w:t>Leading organizations across industries trust Edstellar for learning engagement, reinforcement, and sustainment consulting. Our sustainment programs operate inside Fortune 500 enterprises, government agencies, and high-growth technology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Deloitte, JPMorgan Chase, Siemens, Microsoft, Johnson &amp; Johnson, Shell, HSBC, Amazon, Accenture, Bosch, Unilever, Cisco, Novartis, Intel, PepsiCo, Infosys, Honeywell, Standard Chartered, SAP, Wipro, TCS, Goldman Sachs, Philips, Schneider Electric, GE Healthcare, Mastercard, Vodafone, Ericsson, Abbott,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Frequently Asked Questions About Learning Engagement &amp; Sustainment </w:t>
      </w:r>
    </w:p>
    <w:p>
      <w:pPr>
        <w:spacing w:before="40" w:after="80"/>
        <w:ind w:left="283"/>
      </w:pPr>
      <w:r>
        <w:rPr>
          <w:b w:val="0"/>
          <w:i w:val="0"/>
          <w:color w:val="5C5E6E"/>
          <w:sz w:val="20"/>
        </w:rPr>
      </w:r>
      <w:r>
        <w:rPr>
          <w:b/>
          <w:i w:val="0"/>
          <w:color w:val="1A1A2E"/>
          <w:sz w:val="20"/>
        </w:rPr>
        <w:t>Q1: What is the difference between learning engagement and learning sustainment?</w:t>
      </w:r>
      <w:r>
        <w:rPr>
          <w:b w:val="0"/>
          <w:i w:val="0"/>
          <w:color w:val="5C5E6E"/>
          <w:sz w:val="20"/>
        </w:rPr>
        <w:t xml:space="preserve"> Learning engagement refers to the strategies and design principles that capture and maintain learner attention, motivation, and active participation during the learning experience itself. Engagement ensures that learners deeply encode new knowledge through active interaction with content -- gamification, scenario-based practice, personalized pathways, and social collaboration all serve engagement. Learning sustainment refers to the structured reinforcement activities that happen after the training event to ensure knowledge is retained and applied on the job over time. Sustainment strategies include spaced repetition, microlearning nudges, manager coaching, peer accountability, and performance support tools. The critical distinction is timing and purpose: engagement maximizes initial absorption during training, while sustainment defeats the forgetting curve and drives behavior change after training. Both are essential -- without engagement, learners never fully absorb the content; without sustainment, even well-absorbed content fades within days.</w:t>
      </w:r>
    </w:p>
    <w:p>
      <w:pPr>
        <w:spacing w:before="40" w:after="80"/>
        <w:ind w:left="283"/>
      </w:pPr>
      <w:r>
        <w:rPr>
          <w:b w:val="0"/>
          <w:i w:val="0"/>
          <w:color w:val="5C5E6E"/>
          <w:sz w:val="20"/>
        </w:rPr>
      </w:r>
      <w:r>
        <w:rPr>
          <w:b/>
          <w:i w:val="0"/>
          <w:color w:val="1A1A2E"/>
          <w:sz w:val="20"/>
        </w:rPr>
        <w:t>Q2: What is spaced reinforcement and how does it combat the forgetting curve?</w:t>
      </w:r>
      <w:r>
        <w:rPr>
          <w:b w:val="0"/>
          <w:i w:val="0"/>
          <w:color w:val="5C5E6E"/>
          <w:sz w:val="20"/>
        </w:rPr>
        <w:t xml:space="preserve"> Spaced reinforcement is an evidence-based learning methodology that delivers reinforcement activities at strategically timed intervals after an initial training event. The approach is grounded in the spacing effect, first documented by Hermann Ebbinghaus in 1885, which demonstrates that information is retained more effectively when study sessions are spaced apart rather than massed together. The forgetting curve shows that learners lose approximately 50% of new information within one hour and up to 90% within one week without reinforcement. Spaced reinforcement combats this decay by prompting learners to actively retrieve information at intervals optimized to intercept the forgetting curve -- typically at 1 day, 3 days, 7 days, 14 days, 30 days, and 60 days post-training. Each retrieval event strengthens the memory trace and extends the period before the next forgetting threshold. Clinical trials at Harvard Medical School have demonstrated that this approach increases knowledge retention by up to 170% compared to traditional training without reinforcement.</w:t>
      </w:r>
    </w:p>
    <w:p>
      <w:pPr>
        <w:spacing w:before="40" w:after="80"/>
        <w:ind w:left="283"/>
      </w:pPr>
      <w:r>
        <w:rPr>
          <w:b w:val="0"/>
          <w:i w:val="0"/>
          <w:color w:val="5C5E6E"/>
          <w:sz w:val="20"/>
        </w:rPr>
      </w:r>
      <w:r>
        <w:rPr>
          <w:b/>
          <w:i w:val="0"/>
          <w:color w:val="1A1A2E"/>
          <w:sz w:val="20"/>
        </w:rPr>
        <w:t>Q3: How long does a typical sustainment program run after training?</w:t>
      </w:r>
      <w:r>
        <w:rPr>
          <w:b w:val="0"/>
          <w:i w:val="0"/>
          <w:color w:val="5C5E6E"/>
          <w:sz w:val="20"/>
        </w:rPr>
        <w:t xml:space="preserve"> A well-designed sustainment program typically runs 8-12 weeks after the primary training event, though the duration depends on the complexity of the content, the criticality of the knowledge, and the target behavior change. Spaced reinforcement touchpoints are most frequent in the first two weeks (daily or every other day) and gradually decrease in frequency as retention stabilizes (weekly, then biweekly). Manager coaching conversations typically occur weekly for the first 4-6 weeks, then shift to biweekly observation and feedback. Peer accountability structures often continue indefinitely through communities of practice. The key principle is that sustainment is not a fixed duration but a graduated withdrawal -- reinforcement intensity decreases as retention and behavior application increase, with retention measurement data guiding the pace of withdrawal.</w:t>
      </w:r>
    </w:p>
    <w:p>
      <w:pPr>
        <w:spacing w:before="40" w:after="80"/>
        <w:ind w:left="283"/>
      </w:pPr>
      <w:r>
        <w:rPr>
          <w:b w:val="0"/>
          <w:i w:val="0"/>
          <w:color w:val="5C5E6E"/>
          <w:sz w:val="20"/>
        </w:rPr>
      </w:r>
      <w:r>
        <w:rPr>
          <w:b/>
          <w:i w:val="0"/>
          <w:color w:val="1A1A2E"/>
          <w:sz w:val="20"/>
        </w:rPr>
        <w:t>Q4: What role do managers play in learning sustainment, and how do you prepare them?</w:t>
      </w:r>
      <w:r>
        <w:rPr>
          <w:b w:val="0"/>
          <w:i w:val="0"/>
          <w:color w:val="5C5E6E"/>
          <w:sz w:val="20"/>
        </w:rPr>
        <w:t xml:space="preserve"> Front-line managers are the single most powerful lever for post-training sustainment. Research shows that employees who receive manager-led reinforcement demonstrate a 16% increase in overall performance and exhibit 125% less burnout. Managers drive sustainment by asking coaching questions about skill application, observing on-the-job behavior, providing immediate feedback, creating opportunities for practice, and holding learners accountable for applying new skills. We prepare managers through focused enablement workshops (60-90 minutes) that brief them on the training content, demonstrate coaching tools, practice key conversations, and establish the sustainment cadence. Managers receive conversation guides with scripted discussion prompts, observation checklists mapped to learning objectives, and a structured weekly sustainment rhythm that requires only 10-15 minutes per direct report. The goal is to make sustainment coaching practical and time-efficient for managers who already carry full operational responsibilities.</w:t>
      </w:r>
    </w:p>
    <w:p>
      <w:pPr>
        <w:spacing w:before="40" w:after="80"/>
        <w:ind w:left="283"/>
      </w:pPr>
      <w:r>
        <w:rPr>
          <w:b w:val="0"/>
          <w:i w:val="0"/>
          <w:color w:val="5C5E6E"/>
          <w:sz w:val="20"/>
        </w:rPr>
      </w:r>
      <w:r>
        <w:rPr>
          <w:b/>
          <w:i w:val="0"/>
          <w:color w:val="1A1A2E"/>
          <w:sz w:val="20"/>
        </w:rPr>
        <w:t>Q5: How do you measure whether a sustainment program is working?</w:t>
      </w:r>
      <w:r>
        <w:rPr>
          <w:b w:val="0"/>
          <w:i w:val="0"/>
          <w:color w:val="5C5E6E"/>
          <w:sz w:val="20"/>
        </w:rPr>
        <w:t xml:space="preserve"> We measure sustainment effectiveness across four dimensions. First, knowledge retention assessments at 30, 60, and 90 days post-training measure whether learners actually remember what they learned, using retrieval-based questions rather than recognition tests. Second, behavior verification protocols -- including manager observation assessments, peer feedback surveys, and workflow output analysis -- confirm whether retained knowledge is being applied on the job. Third, business outcome correlation links behavior change to performance metrics specific to the training domain -- safety incidents, compliance failures, sales conversion, customer satisfaction, or quality defects. Fourth, sustainment ROI calculation compares the cost of the reinforcement program against the measurable improvement in retention, behavior, and business outcomes. All four dimensions are tracked through sustainment analytics dashboards with knowledge decay heat maps, retention trend lines, and behavior verification scores.</w:t>
      </w:r>
    </w:p>
    <w:p>
      <w:pPr>
        <w:spacing w:before="40" w:after="80"/>
        <w:ind w:left="283"/>
      </w:pPr>
      <w:r>
        <w:rPr>
          <w:b w:val="0"/>
          <w:i w:val="0"/>
          <w:color w:val="5C5E6E"/>
          <w:sz w:val="20"/>
        </w:rPr>
      </w:r>
      <w:r>
        <w:rPr>
          <w:b/>
          <w:i w:val="0"/>
          <w:color w:val="1A1A2E"/>
          <w:sz w:val="20"/>
        </w:rPr>
        <w:t>Q6: Can sustainment programs integrate with our existing LMS and learning technology?</w:t>
      </w:r>
      <w:r>
        <w:rPr>
          <w:b w:val="0"/>
          <w:i w:val="0"/>
          <w:color w:val="5C5E6E"/>
          <w:sz w:val="20"/>
        </w:rPr>
        <w:t xml:space="preserve"> Absolutely. Edstellar designs sustainment programs to integrate with your existing technology ecosystem, not replace it. We work with all major LMS platforms (SAP SuccessFactors, Cornerstone, Workday Learning, Docebo, Absorb), LXP platforms (Degreed, EdCast, Percipio), communication platforms (Slack, Microsoft Teams, email), and mobile device management systems. Reinforcement content can be delivered through your LMS, via push notifications, through chatbot integrations, via embedded workflow tools, or through standalone micro-apps -- depending on your technology landscape and learner accessibility requirements. For organizations with specialized reinforcement platforms (Axonify, Qstream, or similar), we design content and reinforcement schedules optimized for those platforms. The critical design principle is that reinforcement must reach learners where they already work, with minimal friction and no additional login requirements.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 Learning Sustainment Readiness Scorecard</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GATED ASSET | Learning Sustainment Readiness Scorecard </w:t>
      </w:r>
    </w:p>
    <w:p>
      <w:pPr>
        <w:spacing w:before="200" w:after="40"/>
      </w:pPr>
      <w:r>
        <w:rPr>
          <w:b/>
          <w:caps/>
          <w:color w:val="2D2F6B"/>
          <w:sz w:val="18"/>
        </w:rPr>
        <w:t xml:space="preserve"> Priority </w:t>
      </w:r>
    </w:p>
    <w:p>
      <w:pPr>
        <w:spacing w:before="40" w:after="80"/>
        <w:ind w:left="283"/>
      </w:pPr>
      <w:r>
        <w:rPr>
          <w:b w:val="0"/>
          <w:i w:val="0"/>
          <w:color w:val="5C5E6E"/>
          <w:sz w:val="20"/>
        </w:rPr>
        <w:t>P1 --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Excel + PDF Summary</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30-point self-assessment scoring your organization's learning sustainment maturity across 6 dimensions -- completed in under 10 minutes. Outputs a readiness level (1-5) per dimension with a recommended action roadmap for closing sustainment gaps.</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Up to 90% of training content is forgotten within one week without reinforcement, yet fewer than 10% of organizations have a structured sustainment strategy. This scorecard lets visitors self-diagnose their sustainment gaps -- creating immediate recognition of the forgetting curve problem and a natural conversation starter with Edstellar consultants.</w:t>
      </w:r>
    </w:p>
    <w:p>
      <w:pPr>
        <w:spacing w:before="40" w:after="80"/>
        <w:ind w:left="283"/>
      </w:pPr>
      <w:r>
        <w:rPr>
          <w:b w:val="0"/>
          <w:i w:val="0"/>
          <w:color w:val="5C5E6E"/>
          <w:sz w:val="20"/>
        </w:rPr>
      </w:r>
      <w:r>
        <w:rPr>
          <w:b/>
          <w:i w:val="0"/>
          <w:color w:val="1A1A2E"/>
          <w:sz w:val="20"/>
        </w:rPr>
        <w:t>THE 6 DIMENSIONS SCORED</w:t>
      </w:r>
      <w:r>
        <w:rPr>
          <w:b w:val="0"/>
          <w:i w:val="0"/>
          <w:color w:val="5C5E6E"/>
          <w:sz w:val="20"/>
        </w:rPr>
        <w:t xml:space="preserve"> 1. </w:t>
      </w:r>
      <w:r>
        <w:rPr>
          <w:b/>
          <w:i w:val="0"/>
          <w:color w:val="1A1A2E"/>
          <w:sz w:val="20"/>
        </w:rPr>
        <w:t>Engagement Design Maturity</w:t>
      </w:r>
      <w:r>
        <w:rPr>
          <w:b w:val="0"/>
          <w:i w:val="0"/>
          <w:color w:val="5C5E6E"/>
          <w:sz w:val="20"/>
        </w:rPr>
        <w:t xml:space="preserve"> -- Do your learning programs include active engagement strategies beyond passive content delivery? 2. </w:t>
      </w:r>
      <w:r>
        <w:rPr>
          <w:b/>
          <w:i w:val="0"/>
          <w:color w:val="1A1A2E"/>
          <w:sz w:val="20"/>
        </w:rPr>
        <w:t>Reinforcement Infrastructure</w:t>
      </w:r>
      <w:r>
        <w:rPr>
          <w:b w:val="0"/>
          <w:i w:val="0"/>
          <w:color w:val="5C5E6E"/>
          <w:sz w:val="20"/>
        </w:rPr>
        <w:t xml:space="preserve"> -- Do you have structured post-training reinforcement cadences, content, and delivery systems? 3. </w:t>
      </w:r>
      <w:r>
        <w:rPr>
          <w:b/>
          <w:i w:val="0"/>
          <w:color w:val="1A1A2E"/>
          <w:sz w:val="20"/>
        </w:rPr>
        <w:t>Manager Sustainment Capability</w:t>
      </w:r>
      <w:r>
        <w:rPr>
          <w:b w:val="0"/>
          <w:i w:val="0"/>
          <w:color w:val="5C5E6E"/>
          <w:sz w:val="20"/>
        </w:rPr>
        <w:t xml:space="preserve"> -- Are managers equipped and expected to coach, observe, and reinforce learning after training? 4. </w:t>
      </w:r>
      <w:r>
        <w:rPr>
          <w:b/>
          <w:i w:val="0"/>
          <w:color w:val="1A1A2E"/>
          <w:sz w:val="20"/>
        </w:rPr>
        <w:t>Peer &amp; Community Sustainment</w:t>
      </w:r>
      <w:r>
        <w:rPr>
          <w:b w:val="0"/>
          <w:i w:val="0"/>
          <w:color w:val="5C5E6E"/>
          <w:sz w:val="20"/>
        </w:rPr>
        <w:t xml:space="preserve"> -- Do learners have peer accountability structures and communities of practice for ongoing reinforcement? 5. </w:t>
      </w:r>
      <w:r>
        <w:rPr>
          <w:b/>
          <w:i w:val="0"/>
          <w:color w:val="1A1A2E"/>
          <w:sz w:val="20"/>
        </w:rPr>
        <w:t>Retention Measurement</w:t>
      </w:r>
      <w:r>
        <w:rPr>
          <w:b w:val="0"/>
          <w:i w:val="0"/>
          <w:color w:val="5C5E6E"/>
          <w:sz w:val="20"/>
        </w:rPr>
        <w:t xml:space="preserve"> -- Do you measure knowledge retention, behavior change, and skill application after training? 6. </w:t>
      </w:r>
      <w:r>
        <w:rPr>
          <w:b/>
          <w:i w:val="0"/>
          <w:color w:val="1A1A2E"/>
          <w:sz w:val="20"/>
        </w:rPr>
        <w:t>Technology &amp; Delivery</w:t>
      </w:r>
      <w:r>
        <w:rPr>
          <w:b w:val="0"/>
          <w:i w:val="0"/>
          <w:color w:val="5C5E6E"/>
          <w:sz w:val="20"/>
        </w:rPr>
        <w:t xml:space="preserve"> -- Do you have the platforms, integrations, and content systems to deliver reinforcement in the flow of work?</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readiness score (1-5) per dimension + overall readiness level</w:t>
      </w:r>
    </w:p>
    <w:p>
      <w:pPr>
        <w:pStyle w:val="ListBullet"/>
        <w:spacing w:before="20" w:after="20"/>
        <w:ind w:left="850"/>
      </w:pPr>
      <w:r>
        <w:rPr>
          <w:color w:val="5C5E6E"/>
          <w:sz w:val="20"/>
        </w:rPr>
        <w:t>Readiness levels: (1) No Sustainment, (2) Ad Hoc, (3) Emerging, (4) Systematic, (5) Optimized</w:t>
      </w:r>
    </w:p>
    <w:p>
      <w:pPr>
        <w:pStyle w:val="ListBullet"/>
        <w:spacing w:before="20" w:after="20"/>
        <w:ind w:left="850"/>
      </w:pPr>
      <w:r>
        <w:rPr>
          <w:color w:val="5C5E6E"/>
          <w:sz w:val="20"/>
        </w:rPr>
        <w:t>Recommended actions per dimension based on score</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Instant email delivery of completed scorecard. Option: fill online, see score immediately, email required for full breakdown and action roadmap.</w:t>
      </w:r>
    </w:p>
    <w:p>
      <w:pPr>
        <w:spacing w:before="80" w:after="40"/>
        <w:ind w:left="283"/>
      </w:pPr>
      <w:r>
        <w:rPr>
          <w:b/>
          <w:color w:val="1A2600"/>
          <w:sz w:val="18"/>
        </w:rPr>
        <w:t xml:space="preserve">[CTA COPY] </w:t>
      </w:r>
      <w:r>
        <w:rPr>
          <w:b/>
          <w:color w:val="1A1A2E"/>
          <w:sz w:val="20"/>
        </w:rPr>
        <w:t>Assess Your Sustainment Readiness. Download the Scorecard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Ready to Make Every Training Dollar Count -- Permanently? </w:t>
      </w:r>
    </w:p>
    <w:p>
      <w:pPr>
        <w:spacing w:before="40" w:after="80"/>
        <w:ind w:left="283"/>
      </w:pPr>
      <w:r>
        <w:rPr>
          <w:b w:val="0"/>
          <w:i w:val="0"/>
          <w:color w:val="5C5E6E"/>
          <w:sz w:val="20"/>
        </w:rPr>
        <w:t>Stop losing 90% of your training investment to the forgetting curve. Edstellar's learning engagement and sustainment consultants build the reinforcement systems, manager coaching frameworks, and retention measurement infrastructure that transform one-time training events into lasting capability. As your learning engagement and sustainment consulting partner, we deliver post-training reinforcement services that produce measurable, sustained behavior change.</w:t>
      </w:r>
    </w:p>
    <w:p>
      <w:pPr>
        <w:spacing w:before="200" w:after="40"/>
      </w:pPr>
      <w:r>
        <w:rPr>
          <w:b/>
          <w:caps/>
          <w:color w:val="2D2F6B"/>
          <w:sz w:val="18"/>
        </w:rPr>
        <w:t xml:space="preserve"> CTA </w:t>
      </w:r>
    </w:p>
    <w:p>
      <w:pPr>
        <w:spacing w:before="40" w:after="80"/>
        <w:ind w:left="283"/>
      </w:pPr>
      <w:r>
        <w:rPr>
          <w:b w:val="0"/>
          <w:i w:val="0"/>
          <w:color w:val="5C5E6E"/>
          <w:sz w:val="20"/>
        </w:rPr>
        <w:t>Schedule an Engagement &amp; Sustainment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Let's Build Your Learning Sustainment Capability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Training content forgotten within weeks - No post-training reinforcement strategy - Managers not equipped to sustain learning - Cannot measure knowledge retention - Low learner engagement during training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engagement and sustainment consultant will review your submission and schedule a 30-minute discovery call within 2 business days to discuss your reinforcement, engagement, and retention measurement goals.*</w:t>
      </w:r>
    </w:p>
    <w:p>
      <w:pPr>
        <w:spacing w:before="120" w:after="80"/>
        <w:ind w:left="283"/>
      </w:pPr>
      <w:r>
        <w:rPr>
          <w:b/>
          <w:color w:val="7B93DB"/>
          <w:sz w:val="18"/>
        </w:rPr>
        <w:t xml:space="preserve">[IMAGE] </w:t>
      </w:r>
      <w:r>
        <w:rPr>
          <w:i/>
          <w:color w:val="8A8C9A"/>
          <w:sz w:val="18"/>
        </w:rPr>
        <w:t>Professional headshot collage of Edstellar sustainment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Learning Content Design &amp; Development</w:t>
      </w:r>
      <w:r>
        <w:rPr>
          <w:b w:val="0"/>
          <w:i w:val="0"/>
          <w:color w:val="5C5E6E"/>
          <w:sz w:val="20"/>
        </w:rPr>
        <w:t xml:space="preserve"> *Icon: Content creation palette* Sustainment starts with well-designed content. Our learning content design service builds training experiences optimized for initial engagement and structured for reinforcement -- making sustainment seamless from the first interaction. Explore Learning Content Design</w:t>
      </w:r>
    </w:p>
    <w:p>
      <w:pPr>
        <w:spacing w:before="40" w:after="80"/>
        <w:ind w:left="283"/>
      </w:pPr>
      <w:r>
        <w:rPr>
          <w:b w:val="0"/>
          <w:i w:val="0"/>
          <w:color w:val="5C5E6E"/>
          <w:sz w:val="20"/>
        </w:rPr>
      </w:r>
      <w:r>
        <w:rPr>
          <w:b/>
          <w:i w:val="0"/>
          <w:color w:val="1A1A2E"/>
          <w:sz w:val="20"/>
        </w:rPr>
        <w:t>CONNECTED SERVICE 2: Training Needs Analysis</w:t>
      </w:r>
      <w:r>
        <w:rPr>
          <w:b w:val="0"/>
          <w:i w:val="0"/>
          <w:color w:val="5C5E6E"/>
          <w:sz w:val="20"/>
        </w:rPr>
        <w:t xml:space="preserve"> *Icon: Magnifying glass + checklist* Before designing sustainment, you need clarity on what knowledge matters most. Our Training Needs Analysis service identifies the critical skills and knowledge domains that define your reinforcement priorities. Explore Training Needs Analysis</w:t>
      </w:r>
    </w:p>
    <w:p>
      <w:pPr>
        <w:spacing w:before="40" w:after="80"/>
        <w:ind w:left="283"/>
      </w:pPr>
      <w:r>
        <w:rPr>
          <w:b w:val="0"/>
          <w:i w:val="0"/>
          <w:color w:val="5C5E6E"/>
          <w:sz w:val="20"/>
        </w:rPr>
      </w:r>
      <w:r>
        <w:rPr>
          <w:b/>
          <w:i w:val="0"/>
          <w:color w:val="1A1A2E"/>
          <w:sz w:val="20"/>
        </w:rPr>
        <w:t>CONNECTED SERVICE 3: Learning Governance, Analytics &amp; ROI</w:t>
      </w:r>
      <w:r>
        <w:rPr>
          <w:b w:val="0"/>
          <w:i w:val="0"/>
          <w:color w:val="5C5E6E"/>
          <w:sz w:val="20"/>
        </w:rPr>
        <w:t xml:space="preserve"> *Icon: Analytics dashboard with trend lines* Sustainment analytics feed directly into enterprise learning measurement. Our governance and ROI practice ensures your retention data connects to boardroom-ready impact evidence and strategic investment decisions. Explore Learning Governance, Analytics &amp; ROI</w:t>
      </w:r>
    </w:p>
    <w:p>
      <w:pPr>
        <w:spacing w:before="40" w:after="80"/>
        <w:ind w:left="283"/>
      </w:pPr>
      <w:r>
        <w:rPr>
          <w:b w:val="0"/>
          <w:i w:val="0"/>
          <w:color w:val="5C5E6E"/>
          <w:sz w:val="20"/>
        </w:rPr>
      </w:r>
      <w:r>
        <w:rPr>
          <w:b/>
          <w:i w:val="0"/>
          <w:color w:val="1A1A2E"/>
          <w:sz w:val="20"/>
        </w:rPr>
        <w:t>CONNECTED SERVICE 4: Leadership Development Consulting</w:t>
      </w:r>
      <w:r>
        <w:rPr>
          <w:b w:val="0"/>
          <w:i w:val="0"/>
          <w:color w:val="5C5E6E"/>
          <w:sz w:val="20"/>
        </w:rPr>
        <w:t xml:space="preserve"> *Icon: Leadership pathway* Leadership programs are high-investment, high-stakes learning initiatives that demand robust sustainment. Our leadership practice designs the development programs, and our sustainment practice ensures they produce lasting behavior change. Explore Leadership Development Consulting</w:t>
      </w:r>
    </w:p>
    <w:p>
      <w:pPr>
        <w:spacing w:before="40" w:after="80"/>
        <w:ind w:left="283"/>
      </w:pPr>
      <w:r>
        <w:rPr>
          <w:b w:val="0"/>
          <w:i w:val="0"/>
          <w:color w:val="5C5E6E"/>
          <w:sz w:val="20"/>
        </w:rPr>
      </w:r>
      <w:r>
        <w:rPr>
          <w:b/>
          <w:i w:val="0"/>
          <w:color w:val="1A1A2E"/>
          <w:sz w:val="20"/>
        </w:rPr>
        <w:t>CONNECTED SERVICE 5: Culture, Engagement &amp; DEI Consulting</w:t>
      </w:r>
      <w:r>
        <w:rPr>
          <w:b w:val="0"/>
          <w:i w:val="0"/>
          <w:color w:val="5C5E6E"/>
          <w:sz w:val="20"/>
        </w:rPr>
        <w:t xml:space="preserve"> *Icon: Connected people* Organizational culture directly impacts learner engagement and willingness to sustain new behaviors. Our culture consulting practice addresses the environmental factors that enable or inhibit learning sustainment. Explore Culture &amp; Engagement Consulting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Learning Engagement &amp; Sustainment </w:t>
      </w:r>
    </w:p>
    <w:p>
      <w:pPr>
        <w:spacing w:before="200" w:after="40"/>
      </w:pPr>
      <w:r>
        <w:rPr>
          <w:b/>
          <w:caps/>
          <w:color w:val="2D2F6B"/>
          <w:sz w:val="18"/>
        </w:rPr>
        <w:t xml:space="preserve"> BLOG 1 </w:t>
      </w:r>
    </w:p>
    <w:p>
      <w:pPr>
        <w:spacing w:before="40" w:after="80"/>
        <w:ind w:left="283"/>
      </w:pPr>
      <w:r>
        <w:rPr>
          <w:b w:val="0"/>
          <w:i w:val="0"/>
          <w:color w:val="5C5E6E"/>
          <w:sz w:val="20"/>
        </w:rPr>
        <w:t>*Tag: BLOG, Category: Learning Sustainment* "The Forgetting Curve Is Eating Your Training Budget: A CLO's Guide to Spaced Reinforcement"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Category: Manager Coaching* "Why Manager-Led Sustainment Coaching Is the Most Powerful (and Most Neglected) Lever for Training Transfer"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Category: Learning Engagement* "From Compliance Completions to Genuine Engagement: Designing Learning Experiences That Learners Actually Want"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 ISO certifications, legal links, social icons, copyright.</w:t>
      </w:r>
    </w:p>
    <w:p>
      <w:pPr>
        <w:spacing w:before="40" w:after="80"/>
        <w:ind w:left="283"/>
      </w:pPr>
      <w:r>
        <w:rPr>
          <w:b w:val="0"/>
          <w:i w:val="0"/>
          <w:color w:val="5C5E6E"/>
          <w:sz w:val="20"/>
        </w:rPr>
        <w:t>---</w:t>
      </w:r>
    </w:p>
    <w:p>
      <w:pPr>
        <w:spacing w:before="40" w:after="80"/>
        <w:ind w:left="283"/>
      </w:pPr>
      <w:r>
        <w:rPr>
          <w:b w:val="0"/>
          <w:i w:val="0"/>
          <w:color w:val="5C5E6E"/>
          <w:sz w:val="20"/>
        </w:rPr>
        <w:t>## Keyword Injection Summary</w:t>
      </w:r>
    </w:p>
    <w:p>
      <w:pPr>
        <w:spacing w:before="40" w:after="80"/>
        <w:ind w:left="283"/>
      </w:pPr>
      <w:r>
        <w:rPr>
          <w:b w:val="0"/>
          <w:i w:val="0"/>
          <w:color w:val="5C5E6E"/>
          <w:sz w:val="20"/>
        </w:rPr>
        <w:t>| # | Keyword Variation | Injection Point | |---|-------------------|-----------------| | 01 | learning engagement consulting | S01 hero body, S07 deep-dive intro | | 02 | learning engagement company | S02 definitional body | | 03 | learning engagement firm | S01 hero body | | 04 | learning engagement provider | S06 services intro | | 05 | learning engagement services | S05 pillar 1 | | 06 | learning engagement agency | S16 differentiator 1 | | 07 | learning engagement solutions | S16 differentiator 5 | | 08 | learning sustainment consulting | S02 body, S16 differentiator 3 | | 09 | learning sustainment company | S05 pillar 3 | | 10 | learning sustainment firm | S11 deep-dive intro | | 11 | learning sustainment provider | S02 definitional body | | 12 | learning sustainment services | S15 industries intro | | 13 | learning sustainment agency | (reserved -- not forced) | | 14 | learning sustainment solutions | S03 challenge 6 | | 15 | training reinforcement consulting | S05 pillar 2 | | 16 | training reinforcement services | S03 challenge 2 | | 17 | training reinforcement company | S16 differentiator 2 | | 18 | knowledge retention consulting | S03 intro, S16 differentiator 4 | | 19 | knowledge retention services | S03 challenge 5 | | 20 | knowledge retention solutions | S12 deep-dive intro | | 21 | post-training reinforcement consulting | S08 deep-dive intro | | 22 | post-training reinforcement services | S16 differentiator 6, S22 CTA | | 23 | learner engagement consulting | S07 deep-dive intro | | 24 | training sustainment consulting | S13 process intro | | 25 | training sustainment services | S10 deep-dive body |</w:t>
      </w:r>
    </w:p>
    <w:p>
      <w:pPr>
        <w:spacing w:before="200" w:after="40"/>
      </w:pPr>
      <w:r>
        <w:rPr>
          <w:b/>
          <w:caps/>
          <w:color w:val="2D2F6B"/>
          <w:sz w:val="18"/>
        </w:rPr>
        <w:t xml:space="preserve"> Total variations injected </w:t>
      </w:r>
    </w:p>
    <w:p>
      <w:pPr>
        <w:spacing w:before="40" w:after="80"/>
        <w:ind w:left="283"/>
      </w:pPr>
      <w:r>
        <w:rPr>
          <w:b w:val="0"/>
          <w:i w:val="0"/>
          <w:color w:val="5C5E6E"/>
          <w:sz w:val="20"/>
        </w:rPr>
        <w:t>24 (1 reserved for natural density)</w:t>
      </w:r>
    </w:p>
    <w:p>
      <w:pPr>
        <w:spacing w:before="200" w:after="40"/>
      </w:pPr>
      <w:r>
        <w:rPr>
          <w:b/>
          <w:caps/>
          <w:color w:val="2D2F6B"/>
          <w:sz w:val="18"/>
        </w:rPr>
        <w:t xml:space="preserve"> Em-dashes removed </w:t>
      </w:r>
    </w:p>
    <w:p>
      <w:pPr>
        <w:spacing w:before="40" w:after="80"/>
        <w:ind w:left="283"/>
      </w:pPr>
      <w:r>
        <w:rPr>
          <w:b w:val="0"/>
          <w:i w:val="0"/>
          <w:color w:val="5C5E6E"/>
          <w:sz w:val="20"/>
        </w:rPr>
        <w:t>All instances replaced with double-hyphens (--)</w:t>
      </w:r>
    </w:p>
    <w:p>
      <w:pPr>
        <w:spacing w:before="200" w:after="40"/>
      </w:pPr>
      <w:r>
        <w:rPr>
          <w:b/>
          <w:caps/>
          <w:color w:val="2D2F6B"/>
          <w:sz w:val="18"/>
        </w:rPr>
        <w:t xml:space="preserve"> Arrows removed </w:t>
      </w:r>
    </w:p>
    <w:p>
      <w:pPr>
        <w:spacing w:before="40" w:after="80"/>
        <w:ind w:left="283"/>
      </w:pPr>
      <w:r>
        <w:rPr>
          <w:b w:val="0"/>
          <w:i w:val="0"/>
          <w:color w:val="5C5E6E"/>
          <w:sz w:val="20"/>
        </w:rPr>
        <w:t>All right-pointing arrows replaced with periods or removed</w:t>
      </w:r>
    </w:p>
    <w:p>
      <w:pPr>
        <w:spacing w:before="40" w:after="80"/>
        <w:ind w:left="283"/>
      </w:pPr>
      <w:r>
        <w:rPr>
          <w:b w:val="0"/>
          <w:i w:val="0"/>
          <w:color w:val="5C5E6E"/>
          <w:sz w:val="20"/>
        </w:rPr>
        <w:t>---</w:t>
      </w:r>
    </w:p>
    <w:p>
      <w:pPr>
        <w:spacing w:before="40" w:after="80"/>
        <w:ind w:left="283"/>
      </w:pPr>
      <w:r>
        <w:rPr>
          <w:b w:val="0"/>
          <w:i/>
          <w:color w:val="8A8C9A"/>
          <w:sz w:val="20"/>
        </w:rPr>
        <w:t>Optimized content prepared for Edstellar Marketing Team -- March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