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Factors that will have impact on the share price: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540"/>
        <w:gridCol w:w="4800"/>
        <w:tblGridChange w:id="0">
          <w:tblGrid>
            <w:gridCol w:w="1440"/>
            <w:gridCol w:w="354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Micro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OHLC(Open-High-Low-Close)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Fundamentals of trading, bullish and bearish candles represent market trend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dollar volume of 20M or greater provides good liquidity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Percentage Gain (+/-)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Compare current price to previous day close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Average Weekly Percentage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Average price gain per week in percentage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Dividend 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Annual returns per share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P/E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Overvalued share prices often tend to correct according to target price earnings ratio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Market Capitalization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Large cap stocks are considered more conservative in exchange for less aggressive growth potential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30 day moving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Average trading share price over a period of one month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90 day moving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trading share price over a period of three months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180 day moving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trading share price over a period of six months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Relative Strength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momentum indicator that measures the magnitude (between 0 to 100) of recent price changes in order to evaluate whether a stock is overbought or oversold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Moving Average Convergence Divergence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long-term momentum indicator comparing highs and lows, in which a major rally follows a Golden Cross, when the line of short-term moving average of a stock converges with the line representing the long-term moving average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Volume Weighted Average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price adjusted with volume and price throughout a particular day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Penny Stock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Stocks trading below $5 per share are considered as ‘Penny’ stocks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(High Risk - High Returns)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“Support” (Micro-Level)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Minimum amount of price at which investors as willing to purchase a commodity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“Resistance” (Micro-Level)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amount of price at which investors as willing to purchase a commodity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Blue Chip Stock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Blue chip stocks</w:t>
            </w:r>
            <w:r w:rsidDel="00000000" w:rsidR="00000000" w:rsidRPr="00000000">
              <w:rPr>
                <w:rtl w:val="0"/>
              </w:rPr>
              <w:t xml:space="preserve"> are seen as relatively safer investments, in  established, stable, and well-recognized corporation, with a proven track record of success &amp;  stable growth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S&amp;P 500 inclusión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Reliable source for evaluating a company's rating based on market cap, liquidity, net profit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Macro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Financial news sentiment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Stock market primarily works on mass sentiment which compounds with time so every financial news has a significant impact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Tweets from influential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Investors follow influential people such as the top executives of the companies, biggest investors to get a better incentive to trade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Engagement factor by popularity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Ambitious projects by big companies drive the sentiment towards them and draws everyone’s attention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Political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Politics impacting businesses (For example, trade war, elections, immigration rules)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Sector wise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Circumstances force a particular sector of companies to underperform or outperform other sectors so finding a correlation better helps to predict the performance of other companies within the same sector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S&amp;P 500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Index of 500 large companies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Nasdaq-100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Top 100 stocks composite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Dow Jones-30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Top 30 stocks composite  industrial average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“Support” (Macro-Level)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Minimum point value attained by a major index in a given time after which it starts a bullish run (uptrend)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“Resistance” (Macro-Level)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point value attained by a major index in a given time after which it starts a bearish run (downtrend)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Bullish run (uptrend) comes to an end when a macro level market reaches an all time high in a very short period of time and leads to a drastic meltdown eventually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Bearish run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President Re-election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Market grows by 10% on average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Correlation between Nasdaq and 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Statistical measure of degree to which boht equity instruments ten to move together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