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color w:val="1565C0"/>
          <w:sz w:val="40"/>
        </w:rPr>
        <w:t>DEEP PERFORMANCE ANALYSIS REPORT</w:t>
        <w:br/>
        <w:br/>
        <w:t>FUSED EFFICIENTNET-B0 WITH MULTI-SCALE FEATURE FUSION</w:t>
      </w:r>
    </w:p>
    <w:p/>
    <w:p/>
    <w:p/>
    <w:p>
      <w:pPr>
        <w:jc w:val="center"/>
      </w:pPr>
      <w:r>
        <w:rPr>
          <w:rFonts w:ascii="Times New Roman" w:hAnsi="Times New Roman"/>
          <w:i/>
          <w:sz w:val="22"/>
        </w:rPr>
        <w:t>System Classification: ORIEN Neural Synergy (V2.0 - Production Grade)</w:t>
        <w:br/>
        <w:t>Department of Computer Science &amp; Engineering (AI/ML)</w:t>
        <w:br/>
        <w:t>Anna University, Chennai</w:t>
        <w:br/>
        <w:br/>
        <w:t>Team 14 | Project: Emotional &amp; Sentiment Analysis</w:t>
        <w:br/>
        <w:t>Date: July 2026</w:t>
      </w:r>
    </w:p>
    <w:p>
      <w:r>
        <w:br w:type="page"/>
      </w:r>
    </w:p>
    <w:p>
      <w:pPr>
        <w:spacing w:before="240" w:after="80"/>
      </w:pPr>
      <w:r>
        <w:rPr>
          <w:rFonts w:ascii="Times New Roman" w:hAnsi="Times New Roman"/>
          <w:b/>
          <w:color w:val="1565C0"/>
          <w:sz w:val="28"/>
        </w:rPr>
        <w:t>Table of Contents</w:t>
      </w:r>
    </w:p>
    <w:p>
      <w:r>
        <w:rPr>
          <w:rFonts w:ascii="Times New Roman" w:hAnsi="Times New Roman"/>
          <w:sz w:val="21"/>
        </w:rPr>
        <w:t>1. Executive Summary &amp; Project Overview                                         .... Page 3</w:t>
      </w:r>
    </w:p>
    <w:p>
      <w:r>
        <w:rPr>
          <w:rFonts w:ascii="Times New Roman" w:hAnsi="Times New Roman"/>
          <w:sz w:val="21"/>
        </w:rPr>
        <w:t>2. Codebase &amp; Directory Structure Mapping                                       .... Page 6</w:t>
      </w:r>
    </w:p>
    <w:p>
      <w:r>
        <w:rPr>
          <w:rFonts w:ascii="Times New Roman" w:hAnsi="Times New Roman"/>
          <w:sz w:val="21"/>
        </w:rPr>
        <w:t>3. Model Backbone &amp; Layer Architecture                                          .... Page 9</w:t>
      </w:r>
    </w:p>
    <w:p>
      <w:r>
        <w:rPr>
          <w:rFonts w:ascii="Times New Roman" w:hAnsi="Times New Roman"/>
          <w:sz w:val="21"/>
        </w:rPr>
        <w:t>4. Data Preprocessing &amp; Augmentation Pipeline                                   .... Page 12</w:t>
      </w:r>
    </w:p>
    <w:p>
      <w:r>
        <w:rPr>
          <w:rFonts w:ascii="Times New Roman" w:hAnsi="Times New Roman"/>
          <w:sz w:val="21"/>
        </w:rPr>
        <w:t>5. Mathematical Formulations &amp; Optimization Theory                              .... Page 15</w:t>
      </w:r>
    </w:p>
    <w:p>
      <w:r>
        <w:rPr>
          <w:rFonts w:ascii="Times New Roman" w:hAnsi="Times New Roman"/>
          <w:sz w:val="21"/>
        </w:rPr>
        <w:t>6. Evolutionary Lifecycle &amp; Training Phases                                     .... Page 18</w:t>
      </w:r>
    </w:p>
    <w:p>
      <w:r>
        <w:rPr>
          <w:rFonts w:ascii="Times New Roman" w:hAnsi="Times New Roman"/>
          <w:sz w:val="21"/>
        </w:rPr>
        <w:t>7. Explainable AI (XAI) &amp; Grad-CAM Audits                                       .... Page 21</w:t>
      </w:r>
    </w:p>
    <w:p>
      <w:r>
        <w:rPr>
          <w:rFonts w:ascii="Times New Roman" w:hAnsi="Times New Roman"/>
          <w:sz w:val="21"/>
        </w:rPr>
        <w:t>8. Quantized Edge Deployment &amp; HUD Specifications                               .... Page 24</w:t>
      </w:r>
    </w:p>
    <w:p>
      <w:r>
        <w:rPr>
          <w:rFonts w:ascii="Times New Roman" w:hAnsi="Times New Roman"/>
          <w:sz w:val="21"/>
        </w:rPr>
        <w:t>9. Comparative Benchmarks &amp; Verification Summary                                .... Page 27</w:t>
      </w:r>
    </w:p>
    <w:p>
      <w:r>
        <w:rPr>
          <w:rFonts w:ascii="Times New Roman" w:hAnsi="Times New Roman"/>
          <w:sz w:val="21"/>
        </w:rPr>
        <w:t>10. References &amp; Appendices                                                     .... Page 30</w:t>
      </w:r>
    </w:p>
    <w:p>
      <w:r>
        <w:br w:type="page"/>
      </w:r>
    </w:p>
    <w:p>
      <w:pPr>
        <w:spacing w:before="240" w:after="80"/>
      </w:pPr>
      <w:r>
        <w:rPr>
          <w:rFonts w:ascii="Times New Roman" w:hAnsi="Times New Roman"/>
          <w:b/>
          <w:color w:val="1565C0"/>
          <w:sz w:val="26"/>
        </w:rPr>
        <w:t>1. Executive Summary &amp; Project Overview</w:t>
      </w:r>
    </w:p>
    <w:p>
      <w:pPr>
        <w:spacing w:after="120" w:line="276" w:lineRule="auto"/>
        <w:ind w:firstLine="432"/>
      </w:pPr>
      <w:r>
        <w:rPr>
          <w:rFonts w:ascii="Times New Roman" w:hAnsi="Times New Roman"/>
          <w:i w:val="0"/>
          <w:sz w:val="22"/>
        </w:rPr>
        <w:t>This research report presents the design, implementation, and performance evaluation of the Fused EfficientNet-B0 facial expression classification pipeline. Automated classification of human emotions is a key capability in affective computing and human-computer interaction (HCI). While standard deep convolutional networks achieve high performance, they often discard fine-grained spatial details during pooling. This study implements a multi-scale feature fusion model based on an EfficientNet-B0 backbone to retain both lower-level textures and abstract semantic expressions simultaneously. The proposed model achieves a validation accuracy of 98.57% and a Matthews Correlation Coefficient of 0.9834, outperforming standard baseline architectures. We describe the complete pipeline stages, evolutionary phases, and live HUD edge deployment configurations.</w:t>
      </w:r>
    </w:p>
    <w:p>
      <w:pPr>
        <w:spacing w:before="240" w:after="80"/>
      </w:pPr>
      <w:r>
        <w:rPr>
          <w:rFonts w:ascii="Times New Roman" w:hAnsi="Times New Roman"/>
          <w:b/>
          <w:color w:val="333333"/>
          <w:sz w:val="24"/>
        </w:rPr>
        <w:t>1.1 Deep Learning in Affective Computing</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2. Codebase &amp; Directory Structure Mapping</w:t>
      </w:r>
    </w:p>
    <w:p>
      <w:pPr>
        <w:spacing w:after="120" w:line="276" w:lineRule="auto"/>
        <w:ind w:firstLine="432"/>
      </w:pPr>
      <w:r>
        <w:rPr>
          <w:rFonts w:ascii="Times New Roman" w:hAnsi="Times New Roman"/>
          <w:i w:val="0"/>
          <w:sz w:val="22"/>
        </w:rPr>
        <w:t>The project workspace is organized to support automated parameter tuning, log auditing, and model deployment. Key files include config.py, managing execution contexts (Colab vs. Local), train_local.py, orchestrating Backbone-freeze and multi-scale pooling, and hyper_tuner.py, conducting dynamic parameter sweeping over batch sizes and learning rates. The metric_utils.py script calculates MCC, Cohen's Kappa, and per-class metrics. The xai_ablation.py file handles Grad-CAM visual heatmaps, and inference_hud.py runs the live facial tracking interface.</w:t>
      </w:r>
    </w:p>
    <w:p>
      <w:pPr>
        <w:spacing w:before="240" w:after="80"/>
      </w:pPr>
      <w:r>
        <w:rPr>
          <w:rFonts w:ascii="Times New Roman" w:hAnsi="Times New Roman"/>
          <w:b/>
          <w:color w:val="333333"/>
          <w:sz w:val="24"/>
        </w:rPr>
        <w:t>2.1 Codebase File Audits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3. Model Backbone &amp; Layer Architecture</w:t>
      </w:r>
    </w:p>
    <w:p>
      <w:pPr>
        <w:spacing w:after="120" w:line="276" w:lineRule="auto"/>
        <w:ind w:firstLine="432"/>
      </w:pPr>
      <w:r>
        <w:rPr>
          <w:rFonts w:ascii="Times New Roman" w:hAnsi="Times New Roman"/>
          <w:i w:val="0"/>
          <w:sz w:val="22"/>
        </w:rPr>
        <w:t>The model backbone utilizes a pre-trained EfficientNet-B0 network. To retain fine-grained spatial micro-expressions alongside deep semantic concepts, a multi-scale feature fusion architecture is implemented. Intermediate feature activations are extracted from three block depths: Block 3b (low-level textures and landmarks, resolution 28x28x40), Block 5c (mid-level facial geometry, resolution 14x14x112), and the top backbone layer (resolution 7x7x1280). Global Average Pooling (GAP) is applied to each block activation, and the flat outputs are concatenated into a 2192-dimensional unified descriptor vector.</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1565C0"/>
          </w:tcPr>
          <w:p>
            <w:pPr>
              <w:spacing w:after="40" w:before="40"/>
              <w:jc w:val="center"/>
            </w:pPr>
            <w:r>
              <w:rPr>
                <w:color w:val="FFFFFF"/>
              </w:rPr>
            </w:r>
            <w:r>
              <w:rPr>
                <w:rFonts w:ascii="Times New Roman" w:hAnsi="Times New Roman"/>
                <w:b/>
                <w:i w:val="0"/>
                <w:sz w:val="19"/>
              </w:rPr>
              <w:t>Layer Component</w:t>
            </w:r>
          </w:p>
        </w:tc>
        <w:tc>
          <w:tcPr>
            <w:tcW w:type="dxa" w:w="3120"/>
            <w:vAlign w:val="center"/>
            <w:shd w:val="clear" w:color="auto" w:fill="1565C0"/>
          </w:tcPr>
          <w:p>
            <w:pPr>
              <w:spacing w:after="40" w:before="40"/>
              <w:jc w:val="center"/>
            </w:pPr>
            <w:r>
              <w:rPr>
                <w:color w:val="FFFFFF"/>
              </w:rPr>
            </w:r>
            <w:r>
              <w:rPr>
                <w:rFonts w:ascii="Times New Roman" w:hAnsi="Times New Roman"/>
                <w:b/>
                <w:i w:val="0"/>
                <w:sz w:val="19"/>
              </w:rPr>
              <w:t>Parameters / Shapes</w:t>
            </w:r>
          </w:p>
        </w:tc>
        <w:tc>
          <w:tcPr>
            <w:tcW w:type="dxa" w:w="3120"/>
            <w:vAlign w:val="center"/>
            <w:shd w:val="clear" w:color="auto" w:fill="1565C0"/>
          </w:tcPr>
          <w:p>
            <w:pPr>
              <w:spacing w:after="40" w:before="40"/>
              <w:jc w:val="center"/>
            </w:pPr>
            <w:r>
              <w:rPr>
                <w:color w:val="FFFFFF"/>
              </w:rPr>
            </w:r>
            <w:r>
              <w:rPr>
                <w:rFonts w:ascii="Times New Roman" w:hAnsi="Times New Roman"/>
                <w:b/>
                <w:i w:val="0"/>
                <w:sz w:val="19"/>
              </w:rPr>
              <w:t>Development Rationale</w:t>
            </w:r>
          </w:p>
        </w:tc>
      </w:tr>
      <w:tr>
        <w:tc>
          <w:tcPr>
            <w:tcW w:type="dxa" w:w="3120"/>
            <w:vAlign w:val="center"/>
          </w:tcPr>
          <w:p>
            <w:pPr>
              <w:spacing w:after="40" w:before="40"/>
              <w:jc w:val="center"/>
            </w:pPr>
            <w:r/>
            <w:r>
              <w:rPr>
                <w:rFonts w:ascii="Times New Roman" w:hAnsi="Times New Roman"/>
                <w:b w:val="0"/>
                <w:i w:val="0"/>
                <w:sz w:val="18"/>
              </w:rPr>
              <w:t>Input Tensor</w:t>
            </w:r>
          </w:p>
        </w:tc>
        <w:tc>
          <w:tcPr>
            <w:tcW w:type="dxa" w:w="3120"/>
            <w:vAlign w:val="center"/>
          </w:tcPr>
          <w:p>
            <w:pPr>
              <w:spacing w:after="40" w:before="40"/>
              <w:jc w:val="center"/>
            </w:pPr>
            <w:r/>
            <w:r>
              <w:rPr>
                <w:rFonts w:ascii="Times New Roman" w:hAnsi="Times New Roman"/>
                <w:b w:val="0"/>
                <w:i w:val="0"/>
                <w:sz w:val="18"/>
              </w:rPr>
              <w:t>(224, 224, 3)</w:t>
            </w:r>
          </w:p>
        </w:tc>
        <w:tc>
          <w:tcPr>
            <w:tcW w:type="dxa" w:w="3120"/>
            <w:vAlign w:val="center"/>
          </w:tcPr>
          <w:p>
            <w:pPr>
              <w:spacing w:after="40" w:before="40"/>
              <w:jc w:val="left"/>
            </w:pPr>
            <w:r/>
            <w:r>
              <w:rPr>
                <w:rFonts w:ascii="Times New Roman" w:hAnsi="Times New Roman"/>
                <w:b w:val="0"/>
                <w:i w:val="0"/>
                <w:sz w:val="18"/>
              </w:rPr>
              <w:t>Standard resolution for ImageNet-trained convolutional backbones.</w:t>
            </w:r>
          </w:p>
        </w:tc>
      </w:tr>
      <w:tr>
        <w:tc>
          <w:tcPr>
            <w:tcW w:type="dxa" w:w="3120"/>
            <w:vAlign w:val="center"/>
          </w:tcPr>
          <w:p>
            <w:pPr>
              <w:spacing w:after="40" w:before="40"/>
              <w:jc w:val="center"/>
            </w:pPr>
            <w:r/>
            <w:r>
              <w:rPr>
                <w:rFonts w:ascii="Times New Roman" w:hAnsi="Times New Roman"/>
                <w:b w:val="0"/>
                <w:i w:val="0"/>
                <w:sz w:val="18"/>
              </w:rPr>
              <w:t>Multi-Level Fusion</w:t>
            </w:r>
          </w:p>
        </w:tc>
        <w:tc>
          <w:tcPr>
            <w:tcW w:type="dxa" w:w="3120"/>
            <w:vAlign w:val="center"/>
          </w:tcPr>
          <w:p>
            <w:pPr>
              <w:spacing w:after="40" w:before="40"/>
              <w:jc w:val="center"/>
            </w:pPr>
            <w:r/>
            <w:r>
              <w:rPr>
                <w:rFonts w:ascii="Times New Roman" w:hAnsi="Times New Roman"/>
                <w:b w:val="0"/>
                <w:i w:val="0"/>
                <w:sz w:val="18"/>
              </w:rPr>
              <w:t>Concatenate(GAP3, GAP5, GAP7) ➔ 2192-D</w:t>
            </w:r>
          </w:p>
        </w:tc>
        <w:tc>
          <w:tcPr>
            <w:tcW w:type="dxa" w:w="3120"/>
            <w:vAlign w:val="center"/>
          </w:tcPr>
          <w:p>
            <w:pPr>
              <w:spacing w:after="40" w:before="40"/>
              <w:jc w:val="left"/>
            </w:pPr>
            <w:r/>
            <w:r>
              <w:rPr>
                <w:rFonts w:ascii="Times New Roman" w:hAnsi="Times New Roman"/>
                <w:b w:val="0"/>
                <w:i w:val="0"/>
                <w:sz w:val="18"/>
              </w:rPr>
              <w:t>Combines shallow spatial textures with deep semantic context.</w:t>
            </w:r>
          </w:p>
        </w:tc>
      </w:tr>
      <w:tr>
        <w:tc>
          <w:tcPr>
            <w:tcW w:type="dxa" w:w="3120"/>
            <w:vAlign w:val="center"/>
          </w:tcPr>
          <w:p>
            <w:pPr>
              <w:spacing w:after="40" w:before="40"/>
              <w:jc w:val="center"/>
            </w:pPr>
            <w:r/>
            <w:r>
              <w:rPr>
                <w:rFonts w:ascii="Times New Roman" w:hAnsi="Times New Roman"/>
                <w:b w:val="0"/>
                <w:i w:val="0"/>
                <w:sz w:val="18"/>
              </w:rPr>
              <w:t>Batch Normalization</w:t>
            </w:r>
          </w:p>
        </w:tc>
        <w:tc>
          <w:tcPr>
            <w:tcW w:type="dxa" w:w="3120"/>
            <w:vAlign w:val="center"/>
          </w:tcPr>
          <w:p>
            <w:pPr>
              <w:spacing w:after="40" w:before="40"/>
              <w:jc w:val="center"/>
            </w:pPr>
            <w:r/>
            <w:r>
              <w:rPr>
                <w:rFonts w:ascii="Times New Roman" w:hAnsi="Times New Roman"/>
                <w:b w:val="0"/>
                <w:i w:val="0"/>
                <w:sz w:val="18"/>
              </w:rPr>
              <w:t>Epsilon = 1e-5</w:t>
            </w:r>
          </w:p>
        </w:tc>
        <w:tc>
          <w:tcPr>
            <w:tcW w:type="dxa" w:w="3120"/>
            <w:vAlign w:val="center"/>
          </w:tcPr>
          <w:p>
            <w:pPr>
              <w:spacing w:after="40" w:before="40"/>
              <w:jc w:val="left"/>
            </w:pPr>
            <w:r/>
            <w:r>
              <w:rPr>
                <w:rFonts w:ascii="Times New Roman" w:hAnsi="Times New Roman"/>
                <w:b w:val="0"/>
                <w:i w:val="0"/>
                <w:sz w:val="18"/>
              </w:rPr>
              <w:t>Stabilizes feature distributions and speeds up dense training.</w:t>
            </w:r>
          </w:p>
        </w:tc>
      </w:tr>
      <w:tr>
        <w:tc>
          <w:tcPr>
            <w:tcW w:type="dxa" w:w="3120"/>
            <w:vAlign w:val="center"/>
          </w:tcPr>
          <w:p>
            <w:pPr>
              <w:spacing w:after="40" w:before="40"/>
              <w:jc w:val="center"/>
            </w:pPr>
            <w:r/>
            <w:r>
              <w:rPr>
                <w:rFonts w:ascii="Times New Roman" w:hAnsi="Times New Roman"/>
                <w:b w:val="0"/>
                <w:i w:val="0"/>
                <w:sz w:val="18"/>
              </w:rPr>
              <w:t>Dense Bottleneck</w:t>
            </w:r>
          </w:p>
        </w:tc>
        <w:tc>
          <w:tcPr>
            <w:tcW w:type="dxa" w:w="3120"/>
            <w:vAlign w:val="center"/>
          </w:tcPr>
          <w:p>
            <w:pPr>
              <w:spacing w:after="40" w:before="40"/>
              <w:jc w:val="center"/>
            </w:pPr>
            <w:r/>
            <w:r>
              <w:rPr>
                <w:rFonts w:ascii="Times New Roman" w:hAnsi="Times New Roman"/>
                <w:b w:val="0"/>
                <w:i w:val="0"/>
                <w:sz w:val="18"/>
              </w:rPr>
              <w:t>512 units, ReLU activation</w:t>
            </w:r>
          </w:p>
        </w:tc>
        <w:tc>
          <w:tcPr>
            <w:tcW w:type="dxa" w:w="3120"/>
            <w:vAlign w:val="center"/>
          </w:tcPr>
          <w:p>
            <w:pPr>
              <w:spacing w:after="40" w:before="40"/>
              <w:jc w:val="left"/>
            </w:pPr>
            <w:r/>
            <w:r>
              <w:rPr>
                <w:rFonts w:ascii="Times New Roman" w:hAnsi="Times New Roman"/>
                <w:b w:val="0"/>
                <w:i w:val="0"/>
                <w:sz w:val="18"/>
              </w:rPr>
              <w:t>Expands modeling capacity for complex non-linear emotion boundaries.</w:t>
            </w:r>
          </w:p>
        </w:tc>
      </w:tr>
      <w:tr>
        <w:tc>
          <w:tcPr>
            <w:tcW w:type="dxa" w:w="3120"/>
            <w:vAlign w:val="center"/>
          </w:tcPr>
          <w:p>
            <w:pPr>
              <w:spacing w:after="40" w:before="40"/>
              <w:jc w:val="center"/>
            </w:pPr>
            <w:r/>
            <w:r>
              <w:rPr>
                <w:rFonts w:ascii="Times New Roman" w:hAnsi="Times New Roman"/>
                <w:b w:val="0"/>
                <w:i w:val="0"/>
                <w:sz w:val="18"/>
              </w:rPr>
              <w:t>Dropout Layers</w:t>
            </w:r>
          </w:p>
        </w:tc>
        <w:tc>
          <w:tcPr>
            <w:tcW w:type="dxa" w:w="3120"/>
            <w:vAlign w:val="center"/>
          </w:tcPr>
          <w:p>
            <w:pPr>
              <w:spacing w:after="40" w:before="40"/>
              <w:jc w:val="center"/>
            </w:pPr>
            <w:r/>
            <w:r>
              <w:rPr>
                <w:rFonts w:ascii="Times New Roman" w:hAnsi="Times New Roman"/>
                <w:b w:val="0"/>
                <w:i w:val="0"/>
                <w:sz w:val="18"/>
              </w:rPr>
              <w:t>Rate = 0.4 (dense input), 0.2 (output)</w:t>
            </w:r>
          </w:p>
        </w:tc>
        <w:tc>
          <w:tcPr>
            <w:tcW w:type="dxa" w:w="3120"/>
            <w:vAlign w:val="center"/>
          </w:tcPr>
          <w:p>
            <w:pPr>
              <w:spacing w:after="40" w:before="40"/>
              <w:jc w:val="left"/>
            </w:pPr>
            <w:r/>
            <w:r>
              <w:rPr>
                <w:rFonts w:ascii="Times New Roman" w:hAnsi="Times New Roman"/>
                <w:b w:val="0"/>
                <w:i w:val="0"/>
                <w:sz w:val="18"/>
              </w:rPr>
              <w:t>Regularizes dense weights to prevent target overfitting.</w:t>
            </w:r>
          </w:p>
        </w:tc>
      </w:tr>
      <w:tr>
        <w:tc>
          <w:tcPr>
            <w:tcW w:type="dxa" w:w="3120"/>
            <w:vAlign w:val="center"/>
          </w:tcPr>
          <w:p>
            <w:pPr>
              <w:spacing w:after="40" w:before="40"/>
              <w:jc w:val="center"/>
            </w:pPr>
            <w:r/>
            <w:r>
              <w:rPr>
                <w:rFonts w:ascii="Times New Roman" w:hAnsi="Times New Roman"/>
                <w:b w:val="0"/>
                <w:i w:val="0"/>
                <w:sz w:val="18"/>
              </w:rPr>
              <w:t>Classification Head</w:t>
            </w:r>
          </w:p>
        </w:tc>
        <w:tc>
          <w:tcPr>
            <w:tcW w:type="dxa" w:w="3120"/>
            <w:vAlign w:val="center"/>
          </w:tcPr>
          <w:p>
            <w:pPr>
              <w:spacing w:after="40" w:before="40"/>
              <w:jc w:val="center"/>
            </w:pPr>
            <w:r/>
            <w:r>
              <w:rPr>
                <w:rFonts w:ascii="Times New Roman" w:hAnsi="Times New Roman"/>
                <w:b w:val="0"/>
                <w:i w:val="0"/>
                <w:sz w:val="18"/>
              </w:rPr>
              <w:t>Dense(7), Softmax activation</w:t>
            </w:r>
          </w:p>
        </w:tc>
        <w:tc>
          <w:tcPr>
            <w:tcW w:type="dxa" w:w="3120"/>
            <w:vAlign w:val="center"/>
          </w:tcPr>
          <w:p>
            <w:pPr>
              <w:spacing w:after="40" w:before="40"/>
              <w:jc w:val="left"/>
            </w:pPr>
            <w:r/>
            <w:r>
              <w:rPr>
                <w:rFonts w:ascii="Times New Roman" w:hAnsi="Times New Roman"/>
                <w:b w:val="0"/>
                <w:i w:val="0"/>
                <w:sz w:val="18"/>
              </w:rPr>
              <w:t>Outputs probability distribution across 7 target emotion classes.</w:t>
            </w:r>
          </w:p>
        </w:tc>
      </w:tr>
    </w:tbl>
    <w:p>
      <w:pPr>
        <w:spacing w:before="240" w:after="80"/>
      </w:pPr>
      <w:r>
        <w:rPr>
          <w:rFonts w:ascii="Times New Roman" w:hAnsi="Times New Roman"/>
          <w:b/>
          <w:color w:val="333333"/>
          <w:sz w:val="24"/>
        </w:rPr>
        <w:t>3.1 Feature Fusion Dynamics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4. Data Preprocessing &amp; Augmentation Pipeline</w:t>
      </w:r>
    </w:p>
    <w:p>
      <w:pPr>
        <w:spacing w:after="120" w:line="276" w:lineRule="auto"/>
        <w:ind w:firstLine="432"/>
      </w:pPr>
      <w:r>
        <w:rPr>
          <w:rFonts w:ascii="Times New Roman" w:hAnsi="Times New Roman"/>
          <w:i w:val="0"/>
          <w:sz w:val="22"/>
        </w:rPr>
        <w:t>Data loading uses a validation split of 0.2 (80% training, 20% validation) with seed 42 to ensure exact splits. Images are processed using Contrast-Limited Adaptive Histogram Equalization (CLAHE) with clipLimit=2.0 and tileGridSize=(8,8) to normalize non-uniform facial illumination. The normalization stage maps pixel values to [-1, 1]. Training augmentations include random horizontal and vertical flips, random rotation (up to 0.2 rad), and random contrast adjustment (0.2). Prefetching using tf.data.AUTOTUNE is configured to prevent pipeline bottlenecks.</w:t>
      </w:r>
    </w:p>
    <w:p>
      <w:pPr>
        <w:spacing w:before="240" w:after="80"/>
      </w:pPr>
      <w:r>
        <w:rPr>
          <w:rFonts w:ascii="Times New Roman" w:hAnsi="Times New Roman"/>
          <w:b/>
          <w:color w:val="333333"/>
          <w:sz w:val="24"/>
        </w:rPr>
        <w:t>4.1 Preprocessing Optimization</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5. Mathematical Formulations &amp; Optimization Theory</w:t>
      </w:r>
    </w:p>
    <w:p>
      <w:pPr>
        <w:spacing w:after="120" w:line="276" w:lineRule="auto"/>
        <w:ind w:firstLine="432"/>
      </w:pPr>
      <w:r>
        <w:rPr>
          <w:rFonts w:ascii="Times New Roman" w:hAnsi="Times New Roman"/>
          <w:i w:val="0"/>
          <w:sz w:val="22"/>
        </w:rPr>
        <w:t>We outline the mathematical formulation of our optimization and evaluation metrics. The cross-entropy loss function is defined as: L = -1/N * sum(y_i * log(y_hat_i)). The parameters are optimized using Adam with beta1=0.9 and beta2=0.999. Matthews Correlation Coefficient (MCC) is formulated as: (TP*TN - FP*FN)/sqrt((TP+FP)*(TP+FN)*(TN+FP)*(TN+FN)).</w:t>
      </w:r>
    </w:p>
    <w:p>
      <w:pPr>
        <w:spacing w:before="240" w:after="80"/>
      </w:pPr>
      <w:r>
        <w:rPr>
          <w:rFonts w:ascii="Times New Roman" w:hAnsi="Times New Roman"/>
          <w:b/>
          <w:color w:val="333333"/>
          <w:sz w:val="24"/>
        </w:rPr>
        <w:t>5.1 Evaluation Metrics and Loss Functions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6. Evolutionary Lifecycle &amp; Training Phases</w:t>
      </w:r>
    </w:p>
    <w:p>
      <w:pPr>
        <w:spacing w:after="120" w:line="276" w:lineRule="auto"/>
        <w:ind w:firstLine="432"/>
      </w:pPr>
      <w:r>
        <w:rPr>
          <w:rFonts w:ascii="Times New Roman" w:hAnsi="Times New Roman"/>
          <w:i w:val="0"/>
          <w:sz w:val="22"/>
        </w:rPr>
        <w:t>The model development followed a structured 5-phase approach. In Phase 1, a baseline was established. Phase 2 unfreezes top layers to refine features. Phase 3 performs hyperparameter grid search, leading to Phase 4 (Champion deployment) and Phase 5 (augmentation ablation studies).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0D47A1"/>
          </w:tcPr>
          <w:p>
            <w:pPr>
              <w:spacing w:after="40" w:before="40"/>
              <w:jc w:val="center"/>
            </w:pPr>
            <w:r>
              <w:rPr>
                <w:color w:val="FFFFFF"/>
              </w:rPr>
            </w:r>
            <w:r>
              <w:rPr>
                <w:rFonts w:ascii="Times New Roman" w:hAnsi="Times New Roman"/>
                <w:b/>
                <w:i w:val="0"/>
                <w:sz w:val="19"/>
              </w:rPr>
              <w:t>Phase Stage</w:t>
            </w:r>
          </w:p>
        </w:tc>
        <w:tc>
          <w:tcPr>
            <w:tcW w:type="dxa" w:w="1872"/>
            <w:vAlign w:val="center"/>
            <w:shd w:val="clear" w:color="auto" w:fill="0D47A1"/>
          </w:tcPr>
          <w:p>
            <w:pPr>
              <w:spacing w:after="40" w:before="40"/>
              <w:jc w:val="center"/>
            </w:pPr>
            <w:r>
              <w:rPr>
                <w:color w:val="FFFFFF"/>
              </w:rPr>
            </w:r>
            <w:r>
              <w:rPr>
                <w:rFonts w:ascii="Times New Roman" w:hAnsi="Times New Roman"/>
                <w:b/>
                <w:i w:val="0"/>
                <w:sz w:val="19"/>
              </w:rPr>
              <w:t>Accuracy (%)</w:t>
            </w:r>
          </w:p>
        </w:tc>
        <w:tc>
          <w:tcPr>
            <w:tcW w:type="dxa" w:w="1872"/>
            <w:vAlign w:val="center"/>
            <w:shd w:val="clear" w:color="auto" w:fill="0D47A1"/>
          </w:tcPr>
          <w:p>
            <w:pPr>
              <w:spacing w:after="40" w:before="40"/>
              <w:jc w:val="center"/>
            </w:pPr>
            <w:r>
              <w:rPr>
                <w:color w:val="FFFFFF"/>
              </w:rPr>
            </w:r>
            <w:r>
              <w:rPr>
                <w:rFonts w:ascii="Times New Roman" w:hAnsi="Times New Roman"/>
                <w:b/>
                <w:i w:val="0"/>
                <w:sz w:val="19"/>
              </w:rPr>
              <w:t>F1-Score (Macro)</w:t>
            </w:r>
          </w:p>
        </w:tc>
        <w:tc>
          <w:tcPr>
            <w:tcW w:type="dxa" w:w="1872"/>
            <w:vAlign w:val="center"/>
            <w:shd w:val="clear" w:color="auto" w:fill="0D47A1"/>
          </w:tcPr>
          <w:p>
            <w:pPr>
              <w:spacing w:after="40" w:before="40"/>
              <w:jc w:val="center"/>
            </w:pPr>
            <w:r>
              <w:rPr>
                <w:color w:val="FFFFFF"/>
              </w:rPr>
            </w:r>
            <w:r>
              <w:rPr>
                <w:rFonts w:ascii="Times New Roman" w:hAnsi="Times New Roman"/>
                <w:b/>
                <w:i w:val="0"/>
                <w:sz w:val="19"/>
              </w:rPr>
              <w:t>Log Loss</w:t>
            </w:r>
          </w:p>
        </w:tc>
        <w:tc>
          <w:tcPr>
            <w:tcW w:type="dxa" w:w="1872"/>
            <w:vAlign w:val="center"/>
            <w:shd w:val="clear" w:color="auto" w:fill="0D47A1"/>
          </w:tcPr>
          <w:p>
            <w:pPr>
              <w:spacing w:after="40" w:before="40"/>
              <w:jc w:val="center"/>
            </w:pPr>
            <w:r>
              <w:rPr>
                <w:color w:val="FFFFFF"/>
              </w:rPr>
            </w:r>
            <w:r>
              <w:rPr>
                <w:rFonts w:ascii="Times New Roman" w:hAnsi="Times New Roman"/>
                <w:b/>
                <w:i w:val="0"/>
                <w:sz w:val="19"/>
              </w:rPr>
              <w:t>Configuration Details</w:t>
            </w:r>
          </w:p>
        </w:tc>
      </w:tr>
      <w:tr>
        <w:tc>
          <w:tcPr>
            <w:tcW w:type="dxa" w:w="1872"/>
            <w:vAlign w:val="center"/>
          </w:tcPr>
          <w:p>
            <w:pPr>
              <w:spacing w:after="40" w:before="40"/>
              <w:jc w:val="center"/>
            </w:pPr>
            <w:r/>
            <w:r>
              <w:rPr>
                <w:rFonts w:ascii="Times New Roman" w:hAnsi="Times New Roman"/>
                <w:b w:val="0"/>
                <w:i w:val="0"/>
                <w:sz w:val="18"/>
              </w:rPr>
              <w:t>Phase 1: Baseline</w:t>
            </w:r>
          </w:p>
        </w:tc>
        <w:tc>
          <w:tcPr>
            <w:tcW w:type="dxa" w:w="1872"/>
            <w:vAlign w:val="center"/>
          </w:tcPr>
          <w:p>
            <w:pPr>
              <w:spacing w:after="40" w:before="40"/>
              <w:jc w:val="center"/>
            </w:pPr>
            <w:r/>
            <w:r>
              <w:rPr>
                <w:rFonts w:ascii="Times New Roman" w:hAnsi="Times New Roman"/>
                <w:b w:val="0"/>
                <w:i w:val="0"/>
                <w:sz w:val="18"/>
              </w:rPr>
              <w:t>41.59%</w:t>
            </w:r>
          </w:p>
        </w:tc>
        <w:tc>
          <w:tcPr>
            <w:tcW w:type="dxa" w:w="1872"/>
            <w:vAlign w:val="center"/>
          </w:tcPr>
          <w:p>
            <w:pPr>
              <w:spacing w:after="40" w:before="40"/>
              <w:jc w:val="center"/>
            </w:pPr>
            <w:r/>
            <w:r>
              <w:rPr>
                <w:rFonts w:ascii="Times New Roman" w:hAnsi="Times New Roman"/>
                <w:b w:val="0"/>
                <w:i w:val="0"/>
                <w:sz w:val="18"/>
              </w:rPr>
              <w:t>0.4182</w:t>
            </w:r>
          </w:p>
        </w:tc>
        <w:tc>
          <w:tcPr>
            <w:tcW w:type="dxa" w:w="1872"/>
            <w:vAlign w:val="center"/>
          </w:tcPr>
          <w:p>
            <w:pPr>
              <w:spacing w:after="40" w:before="40"/>
              <w:jc w:val="center"/>
            </w:pPr>
            <w:r/>
            <w:r>
              <w:rPr>
                <w:rFonts w:ascii="Times New Roman" w:hAnsi="Times New Roman"/>
                <w:b w:val="0"/>
                <w:i w:val="0"/>
                <w:sz w:val="18"/>
              </w:rPr>
              <w:t>1.7425</w:t>
            </w:r>
          </w:p>
        </w:tc>
        <w:tc>
          <w:tcPr>
            <w:tcW w:type="dxa" w:w="1872"/>
            <w:vAlign w:val="center"/>
          </w:tcPr>
          <w:p>
            <w:pPr>
              <w:spacing w:after="40" w:before="40"/>
              <w:jc w:val="left"/>
            </w:pPr>
            <w:r/>
            <w:r>
              <w:rPr>
                <w:rFonts w:ascii="Times New Roman" w:hAnsi="Times New Roman"/>
                <w:b w:val="0"/>
                <w:i w:val="0"/>
                <w:sz w:val="18"/>
              </w:rPr>
              <w:t>LR = 0.002, Batch = 16, 15 Epochs, Frozen Backbone</w:t>
            </w:r>
          </w:p>
        </w:tc>
      </w:tr>
      <w:tr>
        <w:tc>
          <w:tcPr>
            <w:tcW w:type="dxa" w:w="1872"/>
            <w:vAlign w:val="center"/>
          </w:tcPr>
          <w:p>
            <w:pPr>
              <w:spacing w:after="40" w:before="40"/>
              <w:jc w:val="center"/>
            </w:pPr>
            <w:r/>
            <w:r>
              <w:rPr>
                <w:rFonts w:ascii="Times New Roman" w:hAnsi="Times New Roman"/>
                <w:b w:val="0"/>
                <w:i w:val="0"/>
                <w:sz w:val="18"/>
              </w:rPr>
              <w:t>Phase 2: Fine-Tuning</w:t>
            </w:r>
          </w:p>
        </w:tc>
        <w:tc>
          <w:tcPr>
            <w:tcW w:type="dxa" w:w="1872"/>
            <w:vAlign w:val="center"/>
          </w:tcPr>
          <w:p>
            <w:pPr>
              <w:spacing w:after="40" w:before="40"/>
              <w:jc w:val="center"/>
            </w:pPr>
            <w:r/>
            <w:r>
              <w:rPr>
                <w:rFonts w:ascii="Times New Roman" w:hAnsi="Times New Roman"/>
                <w:b w:val="0"/>
                <w:i w:val="0"/>
                <w:sz w:val="18"/>
              </w:rPr>
              <w:t>78.25%</w:t>
            </w:r>
          </w:p>
        </w:tc>
        <w:tc>
          <w:tcPr>
            <w:tcW w:type="dxa" w:w="1872"/>
            <w:vAlign w:val="center"/>
          </w:tcPr>
          <w:p>
            <w:pPr>
              <w:spacing w:after="40" w:before="40"/>
              <w:jc w:val="center"/>
            </w:pPr>
            <w:r/>
            <w:r>
              <w:rPr>
                <w:rFonts w:ascii="Times New Roman" w:hAnsi="Times New Roman"/>
                <w:b w:val="0"/>
                <w:i w:val="0"/>
                <w:sz w:val="18"/>
              </w:rPr>
              <w:t>0.7810</w:t>
            </w:r>
          </w:p>
        </w:tc>
        <w:tc>
          <w:tcPr>
            <w:tcW w:type="dxa" w:w="1872"/>
            <w:vAlign w:val="center"/>
          </w:tcPr>
          <w:p>
            <w:pPr>
              <w:spacing w:after="40" w:before="40"/>
              <w:jc w:val="center"/>
            </w:pPr>
            <w:r/>
            <w:r>
              <w:rPr>
                <w:rFonts w:ascii="Times New Roman" w:hAnsi="Times New Roman"/>
                <w:b w:val="0"/>
                <w:i w:val="0"/>
                <w:sz w:val="18"/>
              </w:rPr>
              <w:t>0.7935</w:t>
            </w:r>
          </w:p>
        </w:tc>
        <w:tc>
          <w:tcPr>
            <w:tcW w:type="dxa" w:w="1872"/>
            <w:vAlign w:val="center"/>
          </w:tcPr>
          <w:p>
            <w:pPr>
              <w:spacing w:after="40" w:before="40"/>
              <w:jc w:val="left"/>
            </w:pPr>
            <w:r/>
            <w:r>
              <w:rPr>
                <w:rFonts w:ascii="Times New Roman" w:hAnsi="Times New Roman"/>
                <w:b w:val="0"/>
                <w:i w:val="0"/>
                <w:sz w:val="18"/>
              </w:rPr>
              <w:t>LR = 0.0001, Batch = 32, 20 Epochs, Unfreeze top 20</w:t>
            </w:r>
          </w:p>
        </w:tc>
      </w:tr>
      <w:tr>
        <w:tc>
          <w:tcPr>
            <w:tcW w:type="dxa" w:w="1872"/>
            <w:vAlign w:val="center"/>
          </w:tcPr>
          <w:p>
            <w:pPr>
              <w:spacing w:after="40" w:before="40"/>
              <w:jc w:val="center"/>
            </w:pPr>
            <w:r/>
            <w:r>
              <w:rPr>
                <w:rFonts w:ascii="Times New Roman" w:hAnsi="Times New Roman"/>
                <w:b w:val="0"/>
                <w:i w:val="0"/>
                <w:sz w:val="18"/>
              </w:rPr>
              <w:t>Phase 3: Grid Search</w:t>
            </w:r>
          </w:p>
        </w:tc>
        <w:tc>
          <w:tcPr>
            <w:tcW w:type="dxa" w:w="1872"/>
            <w:vAlign w:val="center"/>
          </w:tcPr>
          <w:p>
            <w:pPr>
              <w:spacing w:after="40" w:before="40"/>
              <w:jc w:val="center"/>
            </w:pPr>
            <w:r/>
            <w:r>
              <w:rPr>
                <w:rFonts w:ascii="Times New Roman" w:hAnsi="Times New Roman"/>
                <w:b w:val="0"/>
                <w:i w:val="0"/>
                <w:sz w:val="18"/>
              </w:rPr>
              <w:t>89.41%</w:t>
            </w:r>
          </w:p>
        </w:tc>
        <w:tc>
          <w:tcPr>
            <w:tcW w:type="dxa" w:w="1872"/>
            <w:vAlign w:val="center"/>
          </w:tcPr>
          <w:p>
            <w:pPr>
              <w:spacing w:after="40" w:before="40"/>
              <w:jc w:val="center"/>
            </w:pPr>
            <w:r/>
            <w:r>
              <w:rPr>
                <w:rFonts w:ascii="Times New Roman" w:hAnsi="Times New Roman"/>
                <w:b w:val="0"/>
                <w:i w:val="0"/>
                <w:sz w:val="18"/>
              </w:rPr>
              <w:t>0.8941</w:t>
            </w:r>
          </w:p>
        </w:tc>
        <w:tc>
          <w:tcPr>
            <w:tcW w:type="dxa" w:w="1872"/>
            <w:vAlign w:val="center"/>
          </w:tcPr>
          <w:p>
            <w:pPr>
              <w:spacing w:after="40" w:before="40"/>
              <w:jc w:val="center"/>
            </w:pPr>
            <w:r/>
            <w:r>
              <w:rPr>
                <w:rFonts w:ascii="Times New Roman" w:hAnsi="Times New Roman"/>
                <w:b w:val="0"/>
                <w:i w:val="0"/>
                <w:sz w:val="18"/>
              </w:rPr>
              <w:t>0.4500</w:t>
            </w:r>
          </w:p>
        </w:tc>
        <w:tc>
          <w:tcPr>
            <w:tcW w:type="dxa" w:w="1872"/>
            <w:vAlign w:val="center"/>
          </w:tcPr>
          <w:p>
            <w:pPr>
              <w:spacing w:after="40" w:before="40"/>
              <w:jc w:val="left"/>
            </w:pPr>
            <w:r/>
            <w:r>
              <w:rPr>
                <w:rFonts w:ascii="Times New Roman" w:hAnsi="Times New Roman"/>
                <w:b w:val="0"/>
                <w:i w:val="0"/>
                <w:sz w:val="18"/>
              </w:rPr>
              <w:t>LR = 0.001, Batch = 16, Grid selection best trial</w:t>
            </w:r>
          </w:p>
        </w:tc>
      </w:tr>
      <w:tr>
        <w:tc>
          <w:tcPr>
            <w:tcW w:type="dxa" w:w="1872"/>
            <w:vAlign w:val="center"/>
          </w:tcPr>
          <w:p>
            <w:pPr>
              <w:spacing w:after="40" w:before="40"/>
              <w:jc w:val="center"/>
            </w:pPr>
            <w:r/>
            <w:r>
              <w:rPr>
                <w:rFonts w:ascii="Times New Roman" w:hAnsi="Times New Roman"/>
                <w:b w:val="0"/>
                <w:i w:val="0"/>
                <w:sz w:val="18"/>
              </w:rPr>
              <w:t>Phase 4: Champion</w:t>
            </w:r>
          </w:p>
        </w:tc>
        <w:tc>
          <w:tcPr>
            <w:tcW w:type="dxa" w:w="1872"/>
            <w:vAlign w:val="center"/>
          </w:tcPr>
          <w:p>
            <w:pPr>
              <w:spacing w:after="40" w:before="40"/>
              <w:jc w:val="center"/>
            </w:pPr>
            <w:r/>
            <w:r>
              <w:rPr>
                <w:rFonts w:ascii="Times New Roman" w:hAnsi="Times New Roman"/>
                <w:b w:val="0"/>
                <w:i w:val="0"/>
                <w:sz w:val="18"/>
              </w:rPr>
              <w:t>98.57%</w:t>
            </w:r>
          </w:p>
        </w:tc>
        <w:tc>
          <w:tcPr>
            <w:tcW w:type="dxa" w:w="1872"/>
            <w:vAlign w:val="center"/>
          </w:tcPr>
          <w:p>
            <w:pPr>
              <w:spacing w:after="40" w:before="40"/>
              <w:jc w:val="center"/>
            </w:pPr>
            <w:r/>
            <w:r>
              <w:rPr>
                <w:rFonts w:ascii="Times New Roman" w:hAnsi="Times New Roman"/>
                <w:b w:val="0"/>
                <w:i w:val="0"/>
                <w:sz w:val="18"/>
              </w:rPr>
              <w:t>0.9857</w:t>
            </w:r>
          </w:p>
        </w:tc>
        <w:tc>
          <w:tcPr>
            <w:tcW w:type="dxa" w:w="1872"/>
            <w:vAlign w:val="center"/>
          </w:tcPr>
          <w:p>
            <w:pPr>
              <w:spacing w:after="40" w:before="40"/>
              <w:jc w:val="center"/>
            </w:pPr>
            <w:r/>
            <w:r>
              <w:rPr>
                <w:rFonts w:ascii="Times New Roman" w:hAnsi="Times New Roman"/>
                <w:b w:val="0"/>
                <w:i w:val="0"/>
                <w:sz w:val="18"/>
              </w:rPr>
              <w:t>0.2186</w:t>
            </w:r>
          </w:p>
        </w:tc>
        <w:tc>
          <w:tcPr>
            <w:tcW w:type="dxa" w:w="1872"/>
            <w:vAlign w:val="center"/>
          </w:tcPr>
          <w:p>
            <w:pPr>
              <w:spacing w:after="40" w:before="40"/>
              <w:jc w:val="left"/>
            </w:pPr>
            <w:r/>
            <w:r>
              <w:rPr>
                <w:rFonts w:ascii="Times New Roman" w:hAnsi="Times New Roman"/>
                <w:b w:val="0"/>
                <w:i w:val="0"/>
                <w:sz w:val="18"/>
              </w:rPr>
              <w:t>LR = 0.001, Batch = 16, Early Stopping, Champion unfreeze</w:t>
            </w:r>
          </w:p>
        </w:tc>
      </w:tr>
      <w:tr>
        <w:tc>
          <w:tcPr>
            <w:tcW w:type="dxa" w:w="1872"/>
            <w:vAlign w:val="center"/>
          </w:tcPr>
          <w:p>
            <w:pPr>
              <w:spacing w:after="40" w:before="40"/>
              <w:jc w:val="center"/>
            </w:pPr>
            <w:r/>
            <w:r>
              <w:rPr>
                <w:rFonts w:ascii="Times New Roman" w:hAnsi="Times New Roman"/>
                <w:b w:val="0"/>
                <w:i w:val="0"/>
                <w:sz w:val="18"/>
              </w:rPr>
              <w:t>Phase 5: Ablation</w:t>
            </w:r>
          </w:p>
        </w:tc>
        <w:tc>
          <w:tcPr>
            <w:tcW w:type="dxa" w:w="1872"/>
            <w:vAlign w:val="center"/>
          </w:tcPr>
          <w:p>
            <w:pPr>
              <w:spacing w:after="40" w:before="40"/>
              <w:jc w:val="center"/>
            </w:pPr>
            <w:r/>
            <w:r>
              <w:rPr>
                <w:rFonts w:ascii="Times New Roman" w:hAnsi="Times New Roman"/>
                <w:b w:val="0"/>
                <w:i w:val="0"/>
                <w:sz w:val="18"/>
              </w:rPr>
              <w:t>45.64%</w:t>
            </w:r>
          </w:p>
        </w:tc>
        <w:tc>
          <w:tcPr>
            <w:tcW w:type="dxa" w:w="1872"/>
            <w:vAlign w:val="center"/>
          </w:tcPr>
          <w:p>
            <w:pPr>
              <w:spacing w:after="40" w:before="40"/>
              <w:jc w:val="center"/>
            </w:pPr>
            <w:r/>
            <w:r>
              <w:rPr>
                <w:rFonts w:ascii="Times New Roman" w:hAnsi="Times New Roman"/>
                <w:b w:val="0"/>
                <w:i w:val="0"/>
                <w:sz w:val="18"/>
              </w:rPr>
              <w:t>0.4510</w:t>
            </w:r>
          </w:p>
        </w:tc>
        <w:tc>
          <w:tcPr>
            <w:tcW w:type="dxa" w:w="1872"/>
            <w:vAlign w:val="center"/>
          </w:tcPr>
          <w:p>
            <w:pPr>
              <w:spacing w:after="40" w:before="40"/>
              <w:jc w:val="center"/>
            </w:pPr>
            <w:r/>
            <w:r>
              <w:rPr>
                <w:rFonts w:ascii="Times New Roman" w:hAnsi="Times New Roman"/>
                <w:b w:val="0"/>
                <w:i w:val="0"/>
                <w:sz w:val="18"/>
              </w:rPr>
              <w:t>1.5122</w:t>
            </w:r>
          </w:p>
        </w:tc>
        <w:tc>
          <w:tcPr>
            <w:tcW w:type="dxa" w:w="1872"/>
            <w:vAlign w:val="center"/>
          </w:tcPr>
          <w:p>
            <w:pPr>
              <w:spacing w:after="40" w:before="40"/>
              <w:jc w:val="left"/>
            </w:pPr>
            <w:r/>
            <w:r>
              <w:rPr>
                <w:rFonts w:ascii="Times New Roman" w:hAnsi="Times New Roman"/>
                <w:b w:val="0"/>
                <w:i w:val="0"/>
                <w:sz w:val="18"/>
              </w:rPr>
              <w:t>No data augmentation configuration (baseline setup)</w:t>
            </w:r>
          </w:p>
        </w:tc>
      </w:tr>
    </w:tbl>
    <w:p>
      <w:pPr>
        <w:spacing w:before="160" w:after="80"/>
        <w:jc w:val="center"/>
      </w:pPr>
      <w:r>
        <w:drawing>
          <wp:inline xmlns:a="http://schemas.openxmlformats.org/drawingml/2006/main" xmlns:pic="http://schemas.openxmlformats.org/drawingml/2006/picture">
            <wp:extent cx="5303520" cy="3086888"/>
            <wp:docPr id="1" name="Picture 1"/>
            <wp:cNvGraphicFramePr>
              <a:graphicFrameLocks noChangeAspect="1"/>
            </wp:cNvGraphicFramePr>
            <a:graphic>
              <a:graphicData uri="http://schemas.openxmlformats.org/drawingml/2006/picture">
                <pic:pic>
                  <pic:nvPicPr>
                    <pic:cNvPr id="0" name="02_efficientnet_stages.png"/>
                    <pic:cNvPicPr/>
                  </pic:nvPicPr>
                  <pic:blipFill>
                    <a:blip r:embed="rId9"/>
                    <a:stretch>
                      <a:fillRect/>
                    </a:stretch>
                  </pic:blipFill>
                  <pic:spPr>
                    <a:xfrm>
                      <a:off x="0" y="0"/>
                      <a:ext cx="5303520" cy="3086888"/>
                    </a:xfrm>
                    <a:prstGeom prst="rect"/>
                  </pic:spPr>
                </pic:pic>
              </a:graphicData>
            </a:graphic>
          </wp:inline>
        </w:drawing>
      </w:r>
    </w:p>
    <w:p>
      <w:pPr>
        <w:spacing w:after="240"/>
        <w:jc w:val="center"/>
      </w:pPr>
      <w:r>
        <w:rPr>
          <w:rFonts w:ascii="Times New Roman" w:hAnsi="Times New Roman"/>
          <w:i/>
          <w:sz w:val="19"/>
        </w:rPr>
        <w:t>Figure 1. Fused EfficientNet-B0 stage-by-stage learning trajectories and metrics dashboard.</w:t>
      </w:r>
    </w:p>
    <w:p>
      <w:pPr>
        <w:spacing w:before="240" w:after="80"/>
      </w:pPr>
      <w:r>
        <w:rPr>
          <w:rFonts w:ascii="Times New Roman" w:hAnsi="Times New Roman"/>
          <w:b/>
          <w:color w:val="333333"/>
          <w:sz w:val="24"/>
        </w:rPr>
        <w:t>6.1 Hyperparameter Sweeping &amp; Trajectory Analysis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7. Explainable AI (XAI) &amp; Grad-CAM Audits</w:t>
      </w:r>
    </w:p>
    <w:p>
      <w:pPr>
        <w:spacing w:after="120" w:line="276" w:lineRule="auto"/>
        <w:ind w:firstLine="432"/>
      </w:pPr>
      <w:r>
        <w:rPr>
          <w:rFonts w:ascii="Times New Roman" w:hAnsi="Times New Roman"/>
          <w:i w:val="0"/>
          <w:sz w:val="22"/>
        </w:rPr>
        <w:t>To audit predictions, Grad-CAM (Class Activation Mapping) was applied to the top_conv layer. Gradients of the predicted class logit were backpropagated to generate spatial activation heatmaps. The audit confirms the model focuses on biological Action Units (mouth curvature, eyebrows elevation, eye openings) while ignoring background details.</w:t>
      </w:r>
    </w:p>
    <w:p>
      <w:pPr>
        <w:spacing w:before="240" w:after="80"/>
      </w:pPr>
      <w:r>
        <w:rPr>
          <w:rFonts w:ascii="Times New Roman" w:hAnsi="Times New Roman"/>
          <w:b/>
          <w:color w:val="333333"/>
          <w:sz w:val="24"/>
        </w:rPr>
        <w:t>7.1 Visual Heatmap Verification</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8. Quantized Edge Deployment &amp; HUD Specifications</w:t>
      </w:r>
    </w:p>
    <w:p>
      <w:pPr>
        <w:spacing w:after="120" w:line="276" w:lineRule="auto"/>
        <w:ind w:firstLine="432"/>
      </w:pPr>
      <w:r>
        <w:rPr>
          <w:rFonts w:ascii="Times New Roman" w:hAnsi="Times New Roman"/>
          <w:i w:val="0"/>
          <w:sz w:val="22"/>
        </w:rPr>
        <w:t>The model is compiled to a Float16 quantized TFLite binary, saving disk space and reducing latency. The live HUD pipeline uses Haar Cascades to crop face boxes, applies CLAHE, and runs TFLite inference. A temporal smoothing window of size 5 averages predictions to eliminate real-time coordinate jitter.</w:t>
      </w:r>
    </w:p>
    <w:p>
      <w:pPr>
        <w:spacing w:before="240" w:after="80"/>
      </w:pPr>
      <w:r>
        <w:rPr>
          <w:rFonts w:ascii="Times New Roman" w:hAnsi="Times New Roman"/>
          <w:b/>
          <w:color w:val="333333"/>
          <w:sz w:val="24"/>
        </w:rPr>
        <w:t>8.1 Latency Profiling on Local Hardware</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9. Comparative Benchmarks &amp; Verification Summary</w:t>
      </w:r>
    </w:p>
    <w:p>
      <w:pPr>
        <w:spacing w:after="120" w:line="276" w:lineRule="auto"/>
        <w:ind w:firstLine="432"/>
      </w:pPr>
      <w:r>
        <w:rPr>
          <w:rFonts w:ascii="Times New Roman" w:hAnsi="Times New Roman"/>
          <w:i w:val="0"/>
          <w:sz w:val="22"/>
        </w:rPr>
        <w:t>We contrast the Fused EfficientNet-B0 model against the other 3 models. Fused EfficientNet-B0 exhibits highest classification accuracy (98.57%), followed by YOLOv8 (95.52%), ResNet-50 (94.57%), and MobileNetV2 (93.52%). MobileNetV2 has the smallest memory footprint, making it ideal for edge networks.</w:t>
      </w:r>
    </w:p>
    <w:p>
      <w:pPr>
        <w:spacing w:before="240" w:after="80"/>
      </w:pPr>
      <w:r>
        <w:rPr>
          <w:rFonts w:ascii="Times New Roman" w:hAnsi="Times New Roman"/>
          <w:b/>
          <w:color w:val="333333"/>
          <w:sz w:val="24"/>
        </w:rPr>
        <w:t>9.1 Multi-Model Benchmarking</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r>
        <w:br w:type="page"/>
      </w:r>
    </w:p>
    <w:p>
      <w:pPr>
        <w:spacing w:before="240" w:after="80"/>
      </w:pPr>
      <w:r>
        <w:rPr>
          <w:rFonts w:ascii="Times New Roman" w:hAnsi="Times New Roman"/>
          <w:b/>
          <w:color w:val="1565C0"/>
          <w:sz w:val="26"/>
        </w:rPr>
        <w:t>10. References &amp; Appendices</w:t>
      </w:r>
    </w:p>
    <w:p>
      <w:pPr>
        <w:spacing w:after="120" w:line="276" w:lineRule="auto"/>
        <w:ind w:firstLine="432"/>
      </w:pPr>
      <w:r>
        <w:rPr>
          <w:rFonts w:ascii="Times New Roman" w:hAnsi="Times New Roman"/>
          <w:i w:val="0"/>
          <w:sz w:val="19"/>
        </w:rPr>
        <w:t>1. Tan, M. &amp; Le, Q. EfficientNet: Rethinking model scaling for convolutional neural networks. ICML (2019) 6105–6114.</w:t>
      </w:r>
    </w:p>
    <w:p>
      <w:pPr>
        <w:spacing w:after="120" w:line="276" w:lineRule="auto"/>
        <w:ind w:firstLine="432"/>
      </w:pPr>
      <w:r>
        <w:rPr>
          <w:rFonts w:ascii="Times New Roman" w:hAnsi="Times New Roman"/>
          <w:i w:val="0"/>
          <w:sz w:val="19"/>
        </w:rPr>
        <w:t>2. He, K., Zhang, X., Ren, S. &amp; Sun, J. Deep residual learning for image recognition. CVPR (2016) 770–778.</w:t>
      </w:r>
    </w:p>
    <w:p>
      <w:pPr>
        <w:spacing w:after="120" w:line="276" w:lineRule="auto"/>
        <w:ind w:firstLine="432"/>
      </w:pPr>
      <w:r>
        <w:rPr>
          <w:rFonts w:ascii="Times New Roman" w:hAnsi="Times New Roman"/>
          <w:i w:val="0"/>
          <w:sz w:val="19"/>
        </w:rPr>
        <w:t>3. Howard, A. G. et al. MobileNets: Efficient CNNs for mobile vision applications. arXiv:1704.04861 (2017).</w:t>
      </w:r>
    </w:p>
    <w:p>
      <w:pPr>
        <w:spacing w:after="120" w:line="276" w:lineRule="auto"/>
        <w:ind w:firstLine="432"/>
      </w:pPr>
      <w:r>
        <w:rPr>
          <w:rFonts w:ascii="Times New Roman" w:hAnsi="Times New Roman"/>
          <w:i w:val="0"/>
          <w:sz w:val="19"/>
        </w:rPr>
        <w:t>4. Redmon, J. et al. You Only Look Once: Unified, real-time object detection. CVPR (2016) 779–788.</w:t>
      </w:r>
    </w:p>
    <w:p>
      <w:pPr>
        <w:spacing w:after="120" w:line="276" w:lineRule="auto"/>
        <w:ind w:firstLine="432"/>
      </w:pPr>
      <w:r>
        <w:rPr>
          <w:rFonts w:ascii="Times New Roman" w:hAnsi="Times New Roman"/>
          <w:i w:val="0"/>
          <w:sz w:val="19"/>
        </w:rPr>
        <w:t>5. Selvaraju, R. R. et al. Grad-CAM: Visual explanations from deep networks. ICCV (2017) 618–626.</w:t>
      </w:r>
    </w:p>
    <w:p>
      <w:pPr>
        <w:spacing w:after="120" w:line="276" w:lineRule="auto"/>
        <w:ind w:firstLine="432"/>
      </w:pPr>
      <w:r>
        <w:rPr>
          <w:rFonts w:ascii="Times New Roman" w:hAnsi="Times New Roman"/>
          <w:i w:val="0"/>
          <w:sz w:val="19"/>
        </w:rPr>
        <w:t>6. Lundberg, S. &amp; Lee, S. A unified approach to interpreting model predictions. NeurIPS (2017).</w:t>
      </w:r>
    </w:p>
    <w:p>
      <w:pPr>
        <w:spacing w:after="120" w:line="276" w:lineRule="auto"/>
        <w:ind w:firstLine="432"/>
      </w:pPr>
      <w:r>
        <w:rPr>
          <w:rFonts w:ascii="Times New Roman" w:hAnsi="Times New Roman"/>
          <w:i w:val="0"/>
          <w:sz w:val="19"/>
        </w:rPr>
        <w:t>7. LeCun, Y., Bengio, Y. &amp; Hinton, G. Deep learning. Nature 521, 436–444 (2015).</w:t>
      </w:r>
    </w:p>
    <w:p>
      <w:pPr>
        <w:spacing w:before="240" w:after="80"/>
      </w:pPr>
      <w:r>
        <w:rPr>
          <w:rFonts w:ascii="Times New Roman" w:hAnsi="Times New Roman"/>
          <w:b/>
          <w:color w:val="333333"/>
          <w:sz w:val="24"/>
        </w:rPr>
        <w:t>Appendix A: Extended Hyperparameter Log Tables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4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1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2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p>
      <w:pPr>
        <w:spacing w:after="120" w:line="276" w:lineRule="auto"/>
        <w:ind w:firstLine="432"/>
      </w:pPr>
      <w:r>
        <w:rPr>
          <w:rFonts w:ascii="Times New Roman" w:hAnsi="Times New Roman"/>
          <w:i w:val="0"/>
          <w:sz w:val="22"/>
        </w:rPr>
        <w:t>Analyzing the Fused EfficientNet-B0 backbone within the ORIEN Neural Synergy v2.0 framework reveals substantial insights. The optimization steps in Phase 3 emphasize how parameter tuning impacts classification success on facial expression features. By adjusting learning rates, we optimize the weights of deep convolutional layers and residual bottlenecks. This ensures that micro-expression boundaries (such as mouth curvature, nose bridge wrinkling, and eyebrow elevation) are mapped accurately into the low-dimensional representation space. Furthermore, regularizing the classification head using dropout layers and batch normalization maintains training stability, avoiding co-adaptation across target domains. We evaluate the gradient flow of the Fused EfficientNet-B0 network during backward propagation, observing the convergence trajectories over 13 epochs. Training is structured in two distinct phases: Phase A (frozen backbone, 15 epochs) for coarse head alignment, followed by Phase B (fine-tuning, 20 epochs) where top layers are unfrozen. The validation metrics show that hyperparameter tuning plays a crucial role in enhancing performance, driving baseline accuracies (typically around 32-41%) to optimized mastery levels exceeding 93% on the 1,050 balanced test set. Explainability audits using Class Activation Mapping (Grad-CAM) verify that the network focuses specifically on biological facial components while completely ignoring background pixels, meeting high-fidelity deployment requirements.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