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Times New Roman" w:hAnsi="Times New Roman"/>
          <w:b/>
          <w:color w:val="7B1FA2"/>
          <w:sz w:val="40"/>
        </w:rPr>
        <w:t>DEEP PERFORMANCE ANALYSIS REPORT</w:t>
        <w:br/>
        <w:br/>
        <w:t>MOBILENETV2 LIGHTWEIGHT EDGE NETWORK MODEL</w:t>
      </w:r>
    </w:p>
    <w:p/>
    <w:p/>
    <w:p/>
    <w:p>
      <w:pPr>
        <w:jc w:val="center"/>
      </w:pPr>
      <w:r>
        <w:rPr>
          <w:rFonts w:ascii="Times New Roman" w:hAnsi="Times New Roman"/>
          <w:i/>
          <w:sz w:val="22"/>
        </w:rPr>
        <w:t>System Classification: ORIEN Neural Synergy (V2.0 - Production Grade)</w:t>
        <w:br/>
        <w:t>Department of Computer Science &amp; Engineering (AI/ML)</w:t>
        <w:br/>
        <w:t>Anna University, Chennai</w:t>
        <w:br/>
        <w:br/>
        <w:t>Team 14 | Project: Emotional &amp; Sentiment Analysis</w:t>
        <w:br/>
        <w:t>Date: July 2026</w:t>
      </w:r>
    </w:p>
    <w:p>
      <w:r>
        <w:br w:type="page"/>
      </w:r>
    </w:p>
    <w:p>
      <w:pPr>
        <w:spacing w:before="240" w:after="80"/>
      </w:pPr>
      <w:r>
        <w:rPr>
          <w:rFonts w:ascii="Times New Roman" w:hAnsi="Times New Roman"/>
          <w:b/>
          <w:color w:val="7B1FA2"/>
          <w:sz w:val="28"/>
        </w:rPr>
        <w:t>Table of Contents</w:t>
      </w:r>
    </w:p>
    <w:p>
      <w:r>
        <w:rPr>
          <w:rFonts w:ascii="Times New Roman" w:hAnsi="Times New Roman"/>
          <w:sz w:val="21"/>
        </w:rPr>
        <w:t>1. Executive Summary &amp; Project Overview                                         .... Page 3</w:t>
      </w:r>
    </w:p>
    <w:p>
      <w:r>
        <w:rPr>
          <w:rFonts w:ascii="Times New Roman" w:hAnsi="Times New Roman"/>
          <w:sz w:val="21"/>
        </w:rPr>
        <w:t>2. Codebase &amp; Directory Structure Mapping                                       .... Page 6</w:t>
      </w:r>
    </w:p>
    <w:p>
      <w:r>
        <w:rPr>
          <w:rFonts w:ascii="Times New Roman" w:hAnsi="Times New Roman"/>
          <w:sz w:val="21"/>
        </w:rPr>
        <w:t>3. Model Backbone &amp; Layer Architecture                                          .... Page 9</w:t>
      </w:r>
    </w:p>
    <w:p>
      <w:r>
        <w:rPr>
          <w:rFonts w:ascii="Times New Roman" w:hAnsi="Times New Roman"/>
          <w:sz w:val="21"/>
        </w:rPr>
        <w:t>4. Data Preprocessing &amp; Augmentation Pipeline                                   .... Page 12</w:t>
      </w:r>
    </w:p>
    <w:p>
      <w:r>
        <w:rPr>
          <w:rFonts w:ascii="Times New Roman" w:hAnsi="Times New Roman"/>
          <w:sz w:val="21"/>
        </w:rPr>
        <w:t>5. Mathematical Formulations &amp; Optimization Theory                              .... Page 15</w:t>
      </w:r>
    </w:p>
    <w:p>
      <w:r>
        <w:rPr>
          <w:rFonts w:ascii="Times New Roman" w:hAnsi="Times New Roman"/>
          <w:sz w:val="21"/>
        </w:rPr>
        <w:t>6. Evolutionary Lifecycle &amp; Training Phases                                     .... Page 18</w:t>
      </w:r>
    </w:p>
    <w:p>
      <w:r>
        <w:rPr>
          <w:rFonts w:ascii="Times New Roman" w:hAnsi="Times New Roman"/>
          <w:sz w:val="21"/>
        </w:rPr>
        <w:t>7. Explainable AI (XAI) &amp; Grad-CAM Audits                                       .... Page 21</w:t>
      </w:r>
    </w:p>
    <w:p>
      <w:r>
        <w:rPr>
          <w:rFonts w:ascii="Times New Roman" w:hAnsi="Times New Roman"/>
          <w:sz w:val="21"/>
        </w:rPr>
        <w:t>8. Quantized Edge Deployment &amp; HUD Specifications                               .... Page 24</w:t>
      </w:r>
    </w:p>
    <w:p>
      <w:r>
        <w:rPr>
          <w:rFonts w:ascii="Times New Roman" w:hAnsi="Times New Roman"/>
          <w:sz w:val="21"/>
        </w:rPr>
        <w:t>9. Comparative Benchmarks &amp; Verification Summary                                .... Page 27</w:t>
      </w:r>
    </w:p>
    <w:p>
      <w:r>
        <w:rPr>
          <w:rFonts w:ascii="Times New Roman" w:hAnsi="Times New Roman"/>
          <w:sz w:val="21"/>
        </w:rPr>
        <w:t>10. References &amp; Appendices                                                     .... Page 30</w:t>
      </w:r>
    </w:p>
    <w:p>
      <w:r>
        <w:br w:type="page"/>
      </w:r>
    </w:p>
    <w:p>
      <w:pPr>
        <w:spacing w:before="240" w:after="80"/>
      </w:pPr>
      <w:r>
        <w:rPr>
          <w:rFonts w:ascii="Times New Roman" w:hAnsi="Times New Roman"/>
          <w:b/>
          <w:color w:val="1565C0"/>
          <w:sz w:val="26"/>
        </w:rPr>
        <w:t>1. Executive Summary &amp; Project Overview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This research report presents the design, implementation, and performance evaluation of the MobileNetV2 facial expression classification pipeline. Automated classification of human emotions is a key capability in affective computing and human-computer interaction (HCI). MobileNetV2 uses depthwise separable convolutions to enable lightweight deployment on low-power edge systems. The baseline accuracy of 37.27% was tuned to a final champion accuracy of 93.52%.</w:t>
      </w:r>
    </w:p>
    <w:p>
      <w:pPr>
        <w:spacing w:before="240" w:after="80"/>
      </w:pPr>
      <w:r>
        <w:rPr>
          <w:rFonts w:ascii="Times New Roman" w:hAnsi="Times New Roman"/>
          <w:b/>
          <w:color w:val="333333"/>
          <w:sz w:val="24"/>
        </w:rPr>
        <w:t>1.1 Deep Learning in Affective Computing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1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2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3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4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r>
        <w:br w:type="page"/>
      </w:r>
    </w:p>
    <w:p>
      <w:pPr>
        <w:spacing w:before="240" w:after="80"/>
      </w:pPr>
      <w:r>
        <w:rPr>
          <w:rFonts w:ascii="Times New Roman" w:hAnsi="Times New Roman"/>
          <w:b/>
          <w:color w:val="1565C0"/>
          <w:sz w:val="26"/>
        </w:rPr>
        <w:t>2. Codebase &amp; Directory Structure Mapping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The project workspace is organized to support automated parameter tuning, log auditing, and model deployment. Key files include config.py, train_local.py, hyper_tuner.py, metric_utils.py, xai_ablation.py, and inference_hud.py.</w:t>
      </w:r>
    </w:p>
    <w:p>
      <w:pPr>
        <w:spacing w:before="240" w:after="80"/>
      </w:pPr>
      <w:r>
        <w:rPr>
          <w:rFonts w:ascii="Times New Roman" w:hAnsi="Times New Roman"/>
          <w:b/>
          <w:color w:val="333333"/>
          <w:sz w:val="24"/>
        </w:rPr>
        <w:t>2.1 Codebase File Audits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1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2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3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4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r>
        <w:br w:type="page"/>
      </w:r>
    </w:p>
    <w:p>
      <w:pPr>
        <w:spacing w:before="240" w:after="80"/>
      </w:pPr>
      <w:r>
        <w:rPr>
          <w:rFonts w:ascii="Times New Roman" w:hAnsi="Times New Roman"/>
          <w:b/>
          <w:color w:val="1565C0"/>
          <w:sz w:val="26"/>
        </w:rPr>
        <w:t>3. Model Backbone &amp; Layer Architecture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The model backbone utilizes a pre-trained MobileNetV2 network designed for lightweight execution. It uses depthwise separable convolutions and linear bottlenecks, packing 3.4M parameters into a 9.6 MB file size. GlobalAveragePooling2D is applied to the final activation block output (out_relu), flattening it to a 1280-dimensional feature vector. The classification head stacked on top includes BatchNormalization, a Dense bottleneck (512 units, ReLU), and Dropout layers to prevent overfitting.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val="clear" w:color="auto" w:fill="7B1FA2"/>
          </w:tcPr>
          <w:p>
            <w:pPr>
              <w:spacing w:after="40" w:before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19"/>
              </w:rPr>
              <w:t>Layer Component</w:t>
            </w:r>
          </w:p>
        </w:tc>
        <w:tc>
          <w:tcPr>
            <w:tcW w:type="dxa" w:w="3120"/>
            <w:vAlign w:val="center"/>
            <w:shd w:val="clear" w:color="auto" w:fill="7B1FA2"/>
          </w:tcPr>
          <w:p>
            <w:pPr>
              <w:spacing w:after="40" w:before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19"/>
              </w:rPr>
              <w:t>Parameters / Configurations</w:t>
            </w:r>
          </w:p>
        </w:tc>
        <w:tc>
          <w:tcPr>
            <w:tcW w:type="dxa" w:w="3120"/>
            <w:vAlign w:val="center"/>
            <w:shd w:val="clear" w:color="auto" w:fill="7B1FA2"/>
          </w:tcPr>
          <w:p>
            <w:pPr>
              <w:spacing w:after="40" w:before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19"/>
              </w:rPr>
              <w:t>Rationale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Input Shape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(224, 224, 3)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ImageNet standard input dimension for spatial feature extraction.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Inverted Residuals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MobileNetV2 (3.4M parameters)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Depthwise separable convolutions minimize parameters and computational complexity.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Dense Bottleneck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512 units, ReLU activation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Maintains representational capacity for non-linear class separation.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Dropout Layers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Rate = 0.4 (fused input), 0.2 (bottleneck)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Enforces regularization to prevent overfitting.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Output Layer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Dense(7), Softmax activation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Generates the class probability distribution across 7 emotion labels.</w:t>
            </w:r>
          </w:p>
        </w:tc>
      </w:tr>
    </w:tbl>
    <w:p>
      <w:pPr>
        <w:spacing w:before="240" w:after="80"/>
      </w:pPr>
      <w:r>
        <w:rPr>
          <w:rFonts w:ascii="Times New Roman" w:hAnsi="Times New Roman"/>
          <w:b/>
          <w:color w:val="333333"/>
          <w:sz w:val="24"/>
        </w:rPr>
        <w:t>3.1 Feature Extraction Dynamics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1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2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3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4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r>
        <w:br w:type="page"/>
      </w:r>
    </w:p>
    <w:p>
      <w:pPr>
        <w:spacing w:before="240" w:after="80"/>
      </w:pPr>
      <w:r>
        <w:rPr>
          <w:rFonts w:ascii="Times New Roman" w:hAnsi="Times New Roman"/>
          <w:b/>
          <w:color w:val="1565C0"/>
          <w:sz w:val="26"/>
        </w:rPr>
        <w:t>4. Data Preprocessing &amp; Augmentation Pipeline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Inputs are preprocessed using CLAHE (clipLimit=2.0, tileGridSize=(8,8)) to balance shadows. The normalization stage maps pixel values to [-1, 1]. Augmentations include random horizontal flips, random rotations (0.2 rad), and contrast adjustments (0.2). Prefetching (tf.data.AUTOTUNE) is used to optimize performance.</w:t>
      </w:r>
    </w:p>
    <w:p>
      <w:pPr>
        <w:spacing w:before="240" w:after="80"/>
      </w:pPr>
      <w:r>
        <w:rPr>
          <w:rFonts w:ascii="Times New Roman" w:hAnsi="Times New Roman"/>
          <w:b/>
          <w:color w:val="333333"/>
          <w:sz w:val="24"/>
        </w:rPr>
        <w:t>4.1 Preprocessing Optimization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1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2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3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4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r>
        <w:br w:type="page"/>
      </w:r>
    </w:p>
    <w:p>
      <w:pPr>
        <w:spacing w:before="240" w:after="80"/>
      </w:pPr>
      <w:r>
        <w:rPr>
          <w:rFonts w:ascii="Times New Roman" w:hAnsi="Times New Roman"/>
          <w:b/>
          <w:color w:val="1565C0"/>
          <w:sz w:val="26"/>
        </w:rPr>
        <w:t>5. Mathematical Formulations &amp; Optimization Theory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We outline the mathematical formulation of our optimization and evaluation metrics. The cross-entropy loss function is defined as: L = -1/N * sum(y_i * log(y_hat_i)). The parameters are optimized using Adam with beta1=0.9 and beta2=0.999. Matthews Correlation Coefficient (MCC) is formulated as: (TP*TN - FP*FN)/sqrt((TP+FP)*(TP+FN)*(TN+FP)*(TN+FN)).</w:t>
      </w:r>
    </w:p>
    <w:p>
      <w:pPr>
        <w:spacing w:before="240" w:after="80"/>
      </w:pPr>
      <w:r>
        <w:rPr>
          <w:rFonts w:ascii="Times New Roman" w:hAnsi="Times New Roman"/>
          <w:b/>
          <w:color w:val="333333"/>
          <w:sz w:val="24"/>
        </w:rPr>
        <w:t>5.1 Evaluation Metrics and Loss Functions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1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2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3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4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1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r>
        <w:br w:type="page"/>
      </w:r>
    </w:p>
    <w:p>
      <w:pPr>
        <w:spacing w:before="240" w:after="80"/>
      </w:pPr>
      <w:r>
        <w:rPr>
          <w:rFonts w:ascii="Times New Roman" w:hAnsi="Times New Roman"/>
          <w:b/>
          <w:color w:val="1565C0"/>
          <w:sz w:val="26"/>
        </w:rPr>
        <w:t>6. Evolutionary Lifecycle &amp; Training Phases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MobileNetV2 training used a structured 5-phase evolutionary path. The baseline model was trained in Phase 1. Phase 2 unfreezes the top 50 layers of the backbone. Phase 3 performs hyperparameter grid search, leading to Phase 4 (Champion) and Phase 5 (ablation).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val="clear" w:color="auto" w:fill="7B1FA2"/>
          </w:tcPr>
          <w:p>
            <w:pPr>
              <w:spacing w:after="40" w:before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19"/>
              </w:rPr>
              <w:t>Phase Stage</w:t>
            </w:r>
          </w:p>
        </w:tc>
        <w:tc>
          <w:tcPr>
            <w:tcW w:type="dxa" w:w="1872"/>
            <w:vAlign w:val="center"/>
            <w:shd w:val="clear" w:color="auto" w:fill="7B1FA2"/>
          </w:tcPr>
          <w:p>
            <w:pPr>
              <w:spacing w:after="40" w:before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19"/>
              </w:rPr>
              <w:t>Accuracy (%)</w:t>
            </w:r>
          </w:p>
        </w:tc>
        <w:tc>
          <w:tcPr>
            <w:tcW w:type="dxa" w:w="1872"/>
            <w:vAlign w:val="center"/>
            <w:shd w:val="clear" w:color="auto" w:fill="7B1FA2"/>
          </w:tcPr>
          <w:p>
            <w:pPr>
              <w:spacing w:after="40" w:before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19"/>
              </w:rPr>
              <w:t>F1-Score (Macro)</w:t>
            </w:r>
          </w:p>
        </w:tc>
        <w:tc>
          <w:tcPr>
            <w:tcW w:type="dxa" w:w="1872"/>
            <w:vAlign w:val="center"/>
            <w:shd w:val="clear" w:color="auto" w:fill="7B1FA2"/>
          </w:tcPr>
          <w:p>
            <w:pPr>
              <w:spacing w:after="40" w:before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19"/>
              </w:rPr>
              <w:t>Log Loss</w:t>
            </w:r>
          </w:p>
        </w:tc>
        <w:tc>
          <w:tcPr>
            <w:tcW w:type="dxa" w:w="1872"/>
            <w:vAlign w:val="center"/>
            <w:shd w:val="clear" w:color="auto" w:fill="7B1FA2"/>
          </w:tcPr>
          <w:p>
            <w:pPr>
              <w:spacing w:after="40" w:before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19"/>
              </w:rPr>
              <w:t>Configuration Details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Phase 1: Baseline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37.27%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0.3765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1.6842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LR = 0.001, Batch = 32, 10 Epochs, Frozen Backbone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Phase 2: Fine-Tuning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80.12%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0.7995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0.7812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LR = 0.0001, Batch = 32, 20 Epochs, Unfreeze top 50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Phase 3: Grid Search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87.34%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0.8734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0.4850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LR = 0.001, Batch = 32, Best grid trial metrics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Phase 4: Champion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93.52%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0.9353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0.3533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LR = 0.001, Batch = 32, Champion parameters evaluation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Phase 5: Ablation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39.73%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0.3910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1.5120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Baseline model without data augmentation features</w:t>
            </w:r>
          </w:p>
        </w:tc>
      </w:tr>
    </w:tbl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0913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obilenet_stag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1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19"/>
        </w:rPr>
        <w:t>Figure 1. MobileNetV2 stage-by-stage learning trajectories and metrics dashboard.</w:t>
      </w:r>
    </w:p>
    <w:p>
      <w:pPr>
        <w:spacing w:before="240" w:after="80"/>
      </w:pPr>
      <w:r>
        <w:rPr>
          <w:rFonts w:ascii="Times New Roman" w:hAnsi="Times New Roman"/>
          <w:b/>
          <w:color w:val="333333"/>
          <w:sz w:val="24"/>
        </w:rPr>
        <w:t>6.1 Hyperparameter Sweeping &amp; Trajectory Analysis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1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2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3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4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r>
        <w:br w:type="page"/>
      </w:r>
    </w:p>
    <w:p>
      <w:pPr>
        <w:spacing w:before="240" w:after="80"/>
      </w:pPr>
      <w:r>
        <w:rPr>
          <w:rFonts w:ascii="Times New Roman" w:hAnsi="Times New Roman"/>
          <w:b/>
          <w:color w:val="1565C0"/>
          <w:sz w:val="26"/>
        </w:rPr>
        <w:t>7. Explainable AI (XAI) &amp; Grad-CAM Audits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Grad-CAM was applied to the final activation layer (out_relu). The resulting activation heatmaps confirm the model focuses on primary expression areas (mouth, nose bridge, eyes) while ignoring background details.</w:t>
      </w:r>
    </w:p>
    <w:p>
      <w:pPr>
        <w:spacing w:before="240" w:after="80"/>
      </w:pPr>
      <w:r>
        <w:rPr>
          <w:rFonts w:ascii="Times New Roman" w:hAnsi="Times New Roman"/>
          <w:b/>
          <w:color w:val="333333"/>
          <w:sz w:val="24"/>
        </w:rPr>
        <w:t>7.1 Visual Heatmap Verification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1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2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3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4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r>
        <w:br w:type="page"/>
      </w:r>
    </w:p>
    <w:p>
      <w:pPr>
        <w:spacing w:before="240" w:after="80"/>
      </w:pPr>
      <w:r>
        <w:rPr>
          <w:rFonts w:ascii="Times New Roman" w:hAnsi="Times New Roman"/>
          <w:b/>
          <w:color w:val="1565C0"/>
          <w:sz w:val="26"/>
        </w:rPr>
        <w:t>8. Quantized Edge Deployment &amp; HUD Specifications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The model is compiled to a Float16 quantized TFLite binary, reducing latency to 11ms per frame. The OpenCV HUD uses Haar Cascades to crop face boxes, applies CLAHE, and runs TFLite inference, incorporating a temporal smoothing window of size 5 to minimize prediction jitter.</w:t>
      </w:r>
    </w:p>
    <w:p>
      <w:pPr>
        <w:spacing w:before="240" w:after="80"/>
      </w:pPr>
      <w:r>
        <w:rPr>
          <w:rFonts w:ascii="Times New Roman" w:hAnsi="Times New Roman"/>
          <w:b/>
          <w:color w:val="333333"/>
          <w:sz w:val="24"/>
        </w:rPr>
        <w:t>8.1 Latency Profiling on Local Hardware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1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2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3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4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r>
        <w:br w:type="page"/>
      </w:r>
    </w:p>
    <w:p>
      <w:pPr>
        <w:spacing w:before="240" w:after="80"/>
      </w:pPr>
      <w:r>
        <w:rPr>
          <w:rFonts w:ascii="Times New Roman" w:hAnsi="Times New Roman"/>
          <w:b/>
          <w:color w:val="1565C0"/>
          <w:sz w:val="26"/>
        </w:rPr>
        <w:t>9. Comparative Benchmarks &amp; Verification Summary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We contrast the MobileNetV2 model against the other 3 models. MobileNetV2 presents the most parameter-efficient configuration, achieving 93.52% accuracy while requiring only 9.6 MB storage space.</w:t>
      </w:r>
    </w:p>
    <w:p>
      <w:pPr>
        <w:spacing w:before="240" w:after="80"/>
      </w:pPr>
      <w:r>
        <w:rPr>
          <w:rFonts w:ascii="Times New Roman" w:hAnsi="Times New Roman"/>
          <w:b/>
          <w:color w:val="333333"/>
          <w:sz w:val="24"/>
        </w:rPr>
        <w:t>9.1 Multi-Model Benchmarking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1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2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3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4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r>
        <w:br w:type="page"/>
      </w:r>
    </w:p>
    <w:p>
      <w:pPr>
        <w:spacing w:before="240" w:after="80"/>
      </w:pPr>
      <w:r>
        <w:rPr>
          <w:rFonts w:ascii="Times New Roman" w:hAnsi="Times New Roman"/>
          <w:b/>
          <w:color w:val="1565C0"/>
          <w:sz w:val="26"/>
        </w:rPr>
        <w:t>10. References &amp; Appendices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19"/>
        </w:rPr>
        <w:t>He, K., Zhang, X., Ren, S. &amp; Sun, J. (2016). Deep residual learning for image recognition. CVPR, 770–778.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19"/>
        </w:rPr>
        <w:t>Tan, M. &amp; Le, Q. (2019). EfficientNet: Rethinking model scaling for convolutional neural networks. ICML, 6105–6114.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19"/>
        </w:rPr>
        <w:t>Howard, A. G. et al. (2017). MobileNets: Efficient CNNs for mobile vision applications. arXiv:1704.04861.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19"/>
        </w:rPr>
        <w:t>Redmon, J. et al. (2016). You Only Look Once: Unified, real-time object detection. CVPR, 779–788.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19"/>
        </w:rPr>
        <w:t>Selvaraju, R. R. et al. (2017). Grad-CAM: Visual explanations from deep networks. ICCV, 618–626.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19"/>
        </w:rPr>
        <w:t>Lundberg, S. &amp; Lee, S. (2017). A unified approach to interpreting model predictions. NeurIPS.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19"/>
        </w:rPr>
        <w:t>Krizhevsky, A. et al. (2017). ImageNet classification with deep CNNs. CACM, 60(6), 84–90.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19"/>
        </w:rPr>
        <w:t>Liu, W. et al. (2016). SSD: Single shot multibox detector. ECCV, 21–37.</w:t>
      </w:r>
    </w:p>
    <w:p>
      <w:pPr>
        <w:spacing w:before="240" w:after="80"/>
      </w:pPr>
      <w:r>
        <w:rPr>
          <w:rFonts w:ascii="Times New Roman" w:hAnsi="Times New Roman"/>
          <w:b/>
          <w:color w:val="333333"/>
          <w:sz w:val="24"/>
        </w:rPr>
        <w:t>Appendix A: Extended Hyperparameter Log Tables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1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2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3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4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1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2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3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4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1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2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3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4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1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2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MobileNetV2 backbone within the ORIEN Neural Synergy v2.0 framework reveals substantial insights. The optimization steps in Phase 3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MobileNetV2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