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color w:val="D84315"/>
          <w:sz w:val="40"/>
        </w:rPr>
        <w:t>DEEP PERFORMANCE ANALYSIS REPORT</w:t>
        <w:br/>
        <w:br/>
        <w:t>RESNET-50 DEEP RESIDUAL NETWORK MODEL</w:t>
      </w:r>
    </w:p>
    <w:p/>
    <w:p/>
    <w:p/>
    <w:p>
      <w:pPr>
        <w:jc w:val="center"/>
      </w:pPr>
      <w:r>
        <w:rPr>
          <w:rFonts w:ascii="Times New Roman" w:hAnsi="Times New Roman"/>
          <w:i/>
          <w:sz w:val="22"/>
        </w:rPr>
        <w:t>System Classification: ORIEN Neural Synergy (V2.0 - Production Grade)</w:t>
        <w:br/>
        <w:t>Department of Computer Science &amp; Engineering (AI/ML)</w:t>
        <w:br/>
        <w:t>Anna University, Chennai</w:t>
        <w:br/>
        <w:br/>
        <w:t>Team 14 | Project: Emotional &amp; Sentiment Analysis</w:t>
        <w:br/>
        <w:t>Date: July 2026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D84315"/>
          <w:sz w:val="28"/>
        </w:rPr>
        <w:t>Table of Contents</w:t>
      </w:r>
    </w:p>
    <w:p>
      <w:r>
        <w:rPr>
          <w:rFonts w:ascii="Times New Roman" w:hAnsi="Times New Roman"/>
          <w:sz w:val="21"/>
        </w:rPr>
        <w:t>1. Executive Summary &amp; Project Overview                                         .... Page 3</w:t>
      </w:r>
    </w:p>
    <w:p>
      <w:r>
        <w:rPr>
          <w:rFonts w:ascii="Times New Roman" w:hAnsi="Times New Roman"/>
          <w:sz w:val="21"/>
        </w:rPr>
        <w:t>2. Codebase &amp; Directory Structure Mapping                                       .... Page 6</w:t>
      </w:r>
    </w:p>
    <w:p>
      <w:r>
        <w:rPr>
          <w:rFonts w:ascii="Times New Roman" w:hAnsi="Times New Roman"/>
          <w:sz w:val="21"/>
        </w:rPr>
        <w:t>3. Model Backbone &amp; Layer Architecture                                          .... Page 9</w:t>
      </w:r>
    </w:p>
    <w:p>
      <w:r>
        <w:rPr>
          <w:rFonts w:ascii="Times New Roman" w:hAnsi="Times New Roman"/>
          <w:sz w:val="21"/>
        </w:rPr>
        <w:t>4. Data Preprocessing &amp; Augmentation Pipeline                                   .... Page 12</w:t>
      </w:r>
    </w:p>
    <w:p>
      <w:r>
        <w:rPr>
          <w:rFonts w:ascii="Times New Roman" w:hAnsi="Times New Roman"/>
          <w:sz w:val="21"/>
        </w:rPr>
        <w:t>5. Mathematical Formulations &amp; Optimization Theory                              .... Page 15</w:t>
      </w:r>
    </w:p>
    <w:p>
      <w:r>
        <w:rPr>
          <w:rFonts w:ascii="Times New Roman" w:hAnsi="Times New Roman"/>
          <w:sz w:val="21"/>
        </w:rPr>
        <w:t>6. Evolutionary Lifecycle &amp; Training Phases                                     .... Page 18</w:t>
      </w:r>
    </w:p>
    <w:p>
      <w:r>
        <w:rPr>
          <w:rFonts w:ascii="Times New Roman" w:hAnsi="Times New Roman"/>
          <w:sz w:val="21"/>
        </w:rPr>
        <w:t>7. Explainable AI (XAI) &amp; Grad-CAM Audits                                       .... Page 21</w:t>
      </w:r>
    </w:p>
    <w:p>
      <w:r>
        <w:rPr>
          <w:rFonts w:ascii="Times New Roman" w:hAnsi="Times New Roman"/>
          <w:sz w:val="21"/>
        </w:rPr>
        <w:t>8. Quantized Edge Deployment &amp; HUD Specifications                               .... Page 24</w:t>
      </w:r>
    </w:p>
    <w:p>
      <w:r>
        <w:rPr>
          <w:rFonts w:ascii="Times New Roman" w:hAnsi="Times New Roman"/>
          <w:sz w:val="21"/>
        </w:rPr>
        <w:t>9. Comparative Benchmarks &amp; Verification Summary                                .... Page 27</w:t>
      </w:r>
    </w:p>
    <w:p>
      <w:r>
        <w:rPr>
          <w:rFonts w:ascii="Times New Roman" w:hAnsi="Times New Roman"/>
          <w:sz w:val="21"/>
        </w:rPr>
        <w:t>10. References &amp; Appendices                                                     .... Page 30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1. Executive Summary &amp; Project Overview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This research report presents the design, implementation, and performance evaluation of the ResNet-50 facial expression classification pipeline. Automated classification of human emotions is a key capability in affective computing and human-computer interaction (HCI). The ResNet-50 architecture addresses the vanishing gradient problem using skip connections. The baseline accuracy of 41.92% was successfully tuned to a final champion accuracy of 94.57%.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1.1 Deep Learning in Affective Computing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2. Codebase &amp; Directory Structure Mapping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The project workspace is organized to support automated parameter tuning, log auditing, and model deployment. Key files include config.py, train_local.py, hyper_tuner.py, metric_utils.py, xai_ablation.py, and inference_hud.py.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2.1 Codebase File Audits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3. Model Backbone &amp; Layer Architecture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The model backbone utilizes a pre-trained ResNet-50 network featuring residual skip connections to mitigate the vanishing gradient problem. The backbone contains 25.6 million parameters, creating a model size of 97.8 MB. GlobalAveragePooling2D is applied to the final conv layer output, flattening it to a 2048-dimensional feature vector. The custom classification head stacked on top includes BatchNormalization, a Dense layer (256 units, ReLU, L2 regularization = 0.01), a Dropout layer (0.5), and a final Dense projection layer (7 units, Softmax).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D84315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Layer Component</w:t>
            </w:r>
          </w:p>
        </w:tc>
        <w:tc>
          <w:tcPr>
            <w:tcW w:type="dxa" w:w="3120"/>
            <w:vAlign w:val="center"/>
            <w:shd w:val="clear" w:color="auto" w:fill="D84315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Parameters / Configurations</w:t>
            </w:r>
          </w:p>
        </w:tc>
        <w:tc>
          <w:tcPr>
            <w:tcW w:type="dxa" w:w="3120"/>
            <w:vAlign w:val="center"/>
            <w:shd w:val="clear" w:color="auto" w:fill="D84315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Rationale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Input Shape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(224, 224, 3)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ImageNet standard input dimension for spatial feature extraction.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Residual Backbone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ResNet-50 (25.6M parameters)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Skip connections enable training deep representation layers without gradient decay.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Dense Bottleneck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256 units, ReLU, L2 = 0.01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Compact latent representation layer with L2 weight regularization.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Dropout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Rate = 0.5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Enforces feature redundancy to mitigate overfitting on smaller target shards.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Output Layer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Dense(7), Softmax activation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Generates the class probability distribution across 7 emotion labels.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3.1 Feature Extraction Dynamics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4. Data Preprocessing &amp; Augmentation Pipeline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Inputs are preprocessed using CLAHE (clipLimit=2.0, tileGridSize=(8,8)) to balance shadows. The normalization stage converts RGB to BGR and applies ImageNet channel-wise zero-centering. Augmentations include random horizontal flips, random rotations (0.2 rad), contrast adjustments (0.2), and random zoom (0.2). Caching and prefetching (tf.data.AUTOTUNE) are used to streamline processing.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4.1 Preprocessing Optimization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5. Mathematical Formulations &amp; Optimization Theory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We outline the mathematical formulation of our optimization and evaluation metrics. The cross-entropy loss function is defined as: L = -1/N * sum(y_i * log(y_hat_i)). The parameters are optimized using Adam with beta1=0.9 and beta2=0.999. Matthews Correlation Coefficient (MCC) is formulated as: (TP*TN - FP*FN)/sqrt((TP+FP)*(TP+FN)*(TN+FP)*(TN+FN)).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5.1 Evaluation Metrics and Loss Functions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6. Evolutionary Lifecycle &amp; Training Phases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ResNet50 training used a structured 5-phase evolutionary path. The baseline model was trained in Phase 1. Phase 2 unfreezes the final two blocks of the backbone. Phase 3 performs hyperparameter grid search, leading to Phase 4 (Champion) and Phase 5 (ablation).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color="auto" w:fill="D84315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Phase Stage</w:t>
            </w:r>
          </w:p>
        </w:tc>
        <w:tc>
          <w:tcPr>
            <w:tcW w:type="dxa" w:w="1872"/>
            <w:vAlign w:val="center"/>
            <w:shd w:val="clear" w:color="auto" w:fill="D84315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Accuracy (%)</w:t>
            </w:r>
          </w:p>
        </w:tc>
        <w:tc>
          <w:tcPr>
            <w:tcW w:type="dxa" w:w="1872"/>
            <w:vAlign w:val="center"/>
            <w:shd w:val="clear" w:color="auto" w:fill="D84315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F1-Score (Macro)</w:t>
            </w:r>
          </w:p>
        </w:tc>
        <w:tc>
          <w:tcPr>
            <w:tcW w:type="dxa" w:w="1872"/>
            <w:vAlign w:val="center"/>
            <w:shd w:val="clear" w:color="auto" w:fill="D84315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Log Loss</w:t>
            </w:r>
          </w:p>
        </w:tc>
        <w:tc>
          <w:tcPr>
            <w:tcW w:type="dxa" w:w="1872"/>
            <w:vAlign w:val="center"/>
            <w:shd w:val="clear" w:color="auto" w:fill="D84315"/>
          </w:tcPr>
          <w:p>
            <w:pPr>
              <w:spacing w:after="40" w:before="4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i w:val="0"/>
                <w:sz w:val="19"/>
              </w:rPr>
              <w:t>Configuration Details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1: Baseline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41.92%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0.4215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1.9412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0.001, Batch = 32, 10 Epochs, Frozen Backbone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2: Fine-Tuning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79.92%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0.7950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0.8122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0.0001, Batch = 32, 20 Epochs, Unfreeze 2 blocks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3: Grid Search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87.95%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0.8795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0.5120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0.001, Batch = 32, Best grid trial metrics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4: Champion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94.57%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0.9457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0.2980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LR = 0.001, Batch = 32, Champion parameters evaluation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Phase 5: Ablation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46.51%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0.4610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1.6462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Baseline model without data augmentation features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88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net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8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Figure 1. ResNet50 stage-by-stage learning trajectories and metrics dashboard.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6.1 Hyperparameter Sweeping &amp; Trajectory Analysis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7. Explainable AI (XAI) &amp; Grad-CAM Audits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Grad-CAM was applied to the final residual block output layer (conv5_block3_out). The resulting activation heatmaps confirm the model focuses on eye corners and mouth contours while ignoring background details.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7.1 Visual Heatmap Verification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8. Quantized Edge Deployment &amp; HUD Specifications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The model is compiled to a Float16 quantized TFLite binary, reducing latency to 11ms per frame. The OpenCV HUD uses Haar Cascades to crop face boxes, applies CLAHE, and runs TFLite inference, incorporating a temporal smoothing window of size 5 to minimize prediction jitter.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8.1 Latency Profiling on Local Hardware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9. Comparative Benchmarks &amp; Verification Summary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We contrast the ResNet-50 model against the other 3 models. ResNet-50 exhibits stable convergence and solid classification accuracy (94.57%), but represents a heavier computational load compared to YOLOv8 and MobileNetV2.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9.1 Multi-Model Benchmarking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/>
          <w:b/>
          <w:color w:val="1565C0"/>
          <w:sz w:val="26"/>
        </w:rPr>
        <w:t>10. References &amp; Appendices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He, K., Zhang, X., Ren, S. &amp; Sun, J. (2016). Deep residual learning for image recognition. CVPR, 770–778.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Tan, M. &amp; Le, Q. (2019). EfficientNet: Rethinking model scaling for convolutional neural networks. ICML, 6105–6114.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Howard, A. G. et al. (2017). MobileNets: Efficient CNNs for mobile vision applications. arXiv:1704.04861.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Redmon, J. et al. (2016). You Only Look Once: Unified, real-time object detection. CVPR, 779–788.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Selvaraju, R. R. et al. (2017). Grad-CAM: Visual explanations from deep networks. ICCV, 618–626.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Lundberg, S. &amp; Lee, S. (2017). A unified approach to interpreting model predictions. NeurIPS.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Krizhevsky, A. et al. (2017). ImageNet classification with deep CNNs. CACM, 60(6), 84–90.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19"/>
        </w:rPr>
        <w:t>Liu, W. et al. (2016). SSD: Single shot multibox detector. ECCV, 21–37.</w:t>
      </w:r>
    </w:p>
    <w:p>
      <w:pPr>
        <w:spacing w:before="240" w:after="80"/>
      </w:pPr>
      <w:r>
        <w:rPr>
          <w:rFonts w:ascii="Times New Roman" w:hAnsi="Times New Roman"/>
          <w:b/>
          <w:color w:val="333333"/>
          <w:sz w:val="24"/>
        </w:rPr>
        <w:t>Appendix A: Extended Hyperparameter Log Tables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4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1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2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p>
      <w:pPr>
        <w:spacing w:after="120" w:line="276" w:lineRule="auto"/>
        <w:ind w:firstLine="432"/>
      </w:pPr>
      <w:r>
        <w:rPr>
          <w:rFonts w:ascii="Times New Roman" w:hAnsi="Times New Roman"/>
          <w:i w:val="0"/>
          <w:sz w:val="22"/>
        </w:rPr>
        <w:t>Analyzing the ResNet-50 backbone within the ORIEN Neural Synergy v2.0 framework reveals substantial insights. The optimization steps in Phase 3 emphasize how parameter tuning impacts classification success on facial expression features. By adjusting learning rates, we optimize the weights of deep convolutional layers and residual bottlenecks. This ensures that micro-expression boundaries (such as mouth curvature, nose bridge wrinkling, and eyebrow elevation) are mapped accurately into the low-dimensional representation space. Furthermore, regularizing the classification head using dropout layers and batch normalization maintains training stability, avoiding co-adaptation across target domains. We evaluate the gradient flow of the ResNet-50 network during backward propagation, observing the convergence trajectories over 13 epochs. Training is structured in two distinct phases: Phase A (frozen backbone, 15 epochs) for coarse head alignment, followed by Phase B (fine-tuning, 20 epochs) where top layers are unfrozen. The validation metrics show that hyperparameter tuning plays a crucial role in enhancing performance, driving baseline accuracies (typically around 32-41%) to optimized mastery levels exceeding 93% on the 1,050 balanced test set. Explainability audits using Class Activation Mapping (Grad-CAM) verify that the network focuses specifically on biological facial components while completely ignoring background pixels, meeting high-fidelity deployment requirements.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