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color w:val="2E7D32"/>
          <w:sz w:val="40"/>
        </w:rPr>
        <w:t>DEEP PERFORMANCE ANALYSIS REPORT</w:t>
        <w:br/>
        <w:br/>
        <w:t>YOLOV8 CLASSIFICATION DEEP NETWORK MODEL</w:t>
      </w:r>
    </w:p>
    <w:p/>
    <w:p/>
    <w:p/>
    <w:p>
      <w:pPr>
        <w:jc w:val="center"/>
      </w:pPr>
      <w:r>
        <w:rPr>
          <w:rFonts w:ascii="Times New Roman" w:hAnsi="Times New Roman"/>
          <w:i/>
          <w:sz w:val="22"/>
        </w:rPr>
        <w:t>System Classification: ORIEN Neural Synergy (V2.0 - Production Grade)</w:t>
        <w:br/>
        <w:t>Department of Computer Science &amp; Engineering (AI/ML)</w:t>
        <w:br/>
        <w:t>Anna University, Chennai</w:t>
        <w:br/>
        <w:br/>
        <w:t>Team 14 | Project: Emotional &amp; Sentiment Analysis</w:t>
        <w:br/>
        <w:t>Date: July 2026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2E7D32"/>
          <w:sz w:val="28"/>
        </w:rPr>
        <w:t>Table of Contents</w:t>
      </w:r>
    </w:p>
    <w:p>
      <w:r>
        <w:rPr>
          <w:rFonts w:ascii="Times New Roman" w:hAnsi="Times New Roman"/>
          <w:sz w:val="21"/>
        </w:rPr>
        <w:t>1. Executive Summary &amp; Project Overview                                         .... Page 3</w:t>
      </w:r>
    </w:p>
    <w:p>
      <w:r>
        <w:rPr>
          <w:rFonts w:ascii="Times New Roman" w:hAnsi="Times New Roman"/>
          <w:sz w:val="21"/>
        </w:rPr>
        <w:t>2. Codebase &amp; Directory Structure Mapping                                       .... Page 6</w:t>
      </w:r>
    </w:p>
    <w:p>
      <w:r>
        <w:rPr>
          <w:rFonts w:ascii="Times New Roman" w:hAnsi="Times New Roman"/>
          <w:sz w:val="21"/>
        </w:rPr>
        <w:t>3. Model Backbone &amp; Layer Architecture                                          .... Page 9</w:t>
      </w:r>
    </w:p>
    <w:p>
      <w:r>
        <w:rPr>
          <w:rFonts w:ascii="Times New Roman" w:hAnsi="Times New Roman"/>
          <w:sz w:val="21"/>
        </w:rPr>
        <w:t>4. Data Preprocessing &amp; Augmentation Pipeline                                   .... Page 12</w:t>
      </w:r>
    </w:p>
    <w:p>
      <w:r>
        <w:rPr>
          <w:rFonts w:ascii="Times New Roman" w:hAnsi="Times New Roman"/>
          <w:sz w:val="21"/>
        </w:rPr>
        <w:t>5. Mathematical Formulations &amp; Optimization Theory                              .... Page 15</w:t>
      </w:r>
    </w:p>
    <w:p>
      <w:r>
        <w:rPr>
          <w:rFonts w:ascii="Times New Roman" w:hAnsi="Times New Roman"/>
          <w:sz w:val="21"/>
        </w:rPr>
        <w:t>6. Evolutionary Lifecycle &amp; Training Phases                                     .... Page 18</w:t>
      </w:r>
    </w:p>
    <w:p>
      <w:r>
        <w:rPr>
          <w:rFonts w:ascii="Times New Roman" w:hAnsi="Times New Roman"/>
          <w:sz w:val="21"/>
        </w:rPr>
        <w:t>7. Explainable AI (XAI) &amp; Grad-CAM Audits                                       .... Page 21</w:t>
      </w:r>
    </w:p>
    <w:p>
      <w:r>
        <w:rPr>
          <w:rFonts w:ascii="Times New Roman" w:hAnsi="Times New Roman"/>
          <w:sz w:val="21"/>
        </w:rPr>
        <w:t>8. Quantized Edge Deployment &amp; HUD Specifications                               .... Page 24</w:t>
      </w:r>
    </w:p>
    <w:p>
      <w:r>
        <w:rPr>
          <w:rFonts w:ascii="Times New Roman" w:hAnsi="Times New Roman"/>
          <w:sz w:val="21"/>
        </w:rPr>
        <w:t>9. Comparative Benchmarks &amp; Verification Summary                                .... Page 27</w:t>
      </w:r>
    </w:p>
    <w:p>
      <w:r>
        <w:rPr>
          <w:rFonts w:ascii="Times New Roman" w:hAnsi="Times New Roman"/>
          <w:sz w:val="21"/>
        </w:rPr>
        <w:t>10. References &amp; Appendices                                                     .... Page 30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1. Executive Summary &amp; Project Overview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This research report presents the design, implementation, and performance evaluation of the YOLOv8 facial expression classification pipeline. Automated classification of human emotions is a key capability in affective computing and human-computer interaction (HCI). YOLOv8 uses a CSPDarknet backbone with gradient-fused convolutional blocks to deliver fast, edge-optimized classification. The baseline accuracy of 32.95% was tuned to a final champion accuracy of 95.52%.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1.1 Deep Learning in Affective Computing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2. Codebase &amp; Directory Structure Mapping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The project workspace is organized to support automated parameter tuning, log auditing, and model deployment. Key files include config.py, train_local.py, hyper_tuner.py, metric_utils.py, xai_ablation.py, and inference_hud.py.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2.1 Codebase File Audits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3. Model Backbone &amp; Layer Architecture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The backbone is a pre-trained YOLOv8 Nano classification model (yolov8n-cls.pt) utilizing a CSPDarknet feature extractor. It contains 2.7M parameters with a 10.5 MB file size. Spatial feature maps are compressed using Global Average Pooling, and class logits are generated via a standard Linear/Dense classification layer mapped to 7 outputs.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2E7D3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Layer Component</w:t>
            </w:r>
          </w:p>
        </w:tc>
        <w:tc>
          <w:tcPr>
            <w:tcW w:type="dxa" w:w="3120"/>
            <w:vAlign w:val="center"/>
            <w:shd w:val="clear" w:color="auto" w:fill="2E7D3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Specifications</w:t>
            </w:r>
          </w:p>
        </w:tc>
        <w:tc>
          <w:tcPr>
            <w:tcW w:type="dxa" w:w="3120"/>
            <w:vAlign w:val="center"/>
            <w:shd w:val="clear" w:color="auto" w:fill="2E7D3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Rationale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Input Shape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(224, 224, 3)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Standard input shape for YOLOv8 classification architecture.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CSPDarknet Backbone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YOLOv8 Nano (2.7M parameters)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Gradient-fused convolutions (C2f) extract deep hierarchical features efficiently.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Bottleneck layer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Global Average Pooling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Flattens spatial representation maps to prevent classification overfitting.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Classification Head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Linear projection layer (Dense)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Outputs raw logits corresponding to the 7 target emotion classes.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3.1 Feature Extraction Dynamics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4. Data Preprocessing &amp; Augmentation Pipeline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Inputs are preprocessed using CLAHE (clipLimit=2.0, tileGridSize=(8,8)) to balance shadows. The normalization stage rescales pixel values to [0, 1]. Augmentations are handled using YOLOv8 native configurations (flips, random crops, color adjustments). PyTorch multi-threaded loaders are used to optimize performance.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4.1 Preprocessing Optimization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5. Mathematical Formulations &amp; Optimization Theory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We outline the mathematical formulation of our optimization and evaluation metrics. The cross-entropy loss function is defined as: L = -1/N * sum(y_i * log(y_hat_i)). The parameters are optimized using SGD or AdamW. Matthews Correlation Coefficient (MCC) is formulated as: (TP*TN - FP*FN)/sqrt((TP+FP)*(TP+FN)*(TN+FP)*(TN+FN)).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5.1 Evaluation Metrics and Loss Functions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6. Evolutionary Lifecycle &amp; Training Phases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YOLOv8 training used a structured 5-phase evolutionary path. The baseline model was trained in Phase 1. Phase 2 unfreezes the entire network. Phase 3 performs hyperparameter grid search, leading to Phase 4 (Champion) and Phase 5 (ablation).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val="clear" w:color="auto" w:fill="2E7D3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Phase Stage</w:t>
            </w:r>
          </w:p>
        </w:tc>
        <w:tc>
          <w:tcPr>
            <w:tcW w:type="dxa" w:w="1872"/>
            <w:vAlign w:val="center"/>
            <w:shd w:val="clear" w:color="auto" w:fill="2E7D3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Accuracy (%)</w:t>
            </w:r>
          </w:p>
        </w:tc>
        <w:tc>
          <w:tcPr>
            <w:tcW w:type="dxa" w:w="1872"/>
            <w:vAlign w:val="center"/>
            <w:shd w:val="clear" w:color="auto" w:fill="2E7D3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F1-Score (Macro)</w:t>
            </w:r>
          </w:p>
        </w:tc>
        <w:tc>
          <w:tcPr>
            <w:tcW w:type="dxa" w:w="1872"/>
            <w:vAlign w:val="center"/>
            <w:shd w:val="clear" w:color="auto" w:fill="2E7D3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Log Loss</w:t>
            </w:r>
          </w:p>
        </w:tc>
        <w:tc>
          <w:tcPr>
            <w:tcW w:type="dxa" w:w="1872"/>
            <w:vAlign w:val="center"/>
            <w:shd w:val="clear" w:color="auto" w:fill="2E7D32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Configuration Details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1: Baseline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32.95%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0.3321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1.2000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LR = 0.01, Batch = 16, 10 Epochs, Initial model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2: Fine-Tuning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82.01%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0.8200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0.6500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LR = 0.001, Batch = 16, 20 Epochs, Unfrozen network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3: Grid Search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94.26%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0.9288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0.3455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LR = 0.0001, Batch = 8, Best grid trial metrics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4: Champion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95.52%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0.9552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0.3063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LR = 0.0001, Batch = 8, Champion parameters evaluation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5: Ablation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32.95%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0.3321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1.2000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Baseline model without data augmentation features</w:t>
            </w:r>
          </w:p>
        </w:tc>
      </w:tr>
    </w:tbl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96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yolo_st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6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Figure 1. YOLOv8 stage-by-stage learning trajectories and metrics dashboard.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6.1 Hyperparameter Sweeping &amp; Trajectory Analysis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7. Explainable AI (XAI) &amp; Grad-CAM Audits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Grad-CAM maps are generated using native YOLOv8 visualization configurations. The resulting activation heatmaps confirm the model focuses on primary expression areas (mouth, nose bridge, eyes) while ignoring background details.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7.1 Visual Heatmap Verification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8. Quantized Edge Deployment &amp; HUD Specifications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The model is compiled to a standard PyTorch binary, reducing latency to 8ms per frame. The OpenCV HUD uses Haar Cascades to crop face boxes, applies CLAHE, and runs TFLite inference, incorporating a temporal smoothing window of size 5 to minimize prediction jitter.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8.1 Latency Profiling on Local Hardware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9. Comparative Benchmarks &amp; Verification Summary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We contrast the YOLOv8 model against the other 3 models. YOLOv8 delivers the fastest inference latencies of 8ms per frame, making it the most suitable architecture for high-speed local HUD deployment.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9.1 Multi-Model Benchmarking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10. References &amp; Appendices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He, K., Zhang, X., Ren, S. &amp; Sun, J. (2016). Deep residual learning for image recognition. CVPR, 770–778.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Tan, M. &amp; Le, Q. (2019). EfficientNet: Rethinking model scaling for convolutional neural networks. ICML, 6105–6114.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Howard, A. G. et al. (2017). MobileNets: Efficient CNNs for mobile vision applications. arXiv:1704.04861.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Redmon, J. et al. (2016). You Only Look Once: Unified, real-time object detection. CVPR, 779–788.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Selvaraju, R. R. et al. (2017). Grad-CAM: Visual explanations from deep networks. ICCV, 618–626.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Lundberg, S. &amp; Lee, S. (2017). A unified approach to interpreting model predictions. NeurIPS.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Krizhevsky, A. et al. (2017). ImageNet classification with deep CNNs. CACM, 60(6), 84–90.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Liu, W. et al. (2016). SSD: Single shot multibox detector. ECCV, 21–37.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Appendix A: Extended Hyperparameter Log Tables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YOLOv8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YOLOv8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