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QAI Patent Licensing Proposal</w:t>
      </w:r>
    </w:p>
    <w:p>
      <w:r>
        <w:t>By Bhadale IT Innovations Pvt. Ltd.</w:t>
      </w:r>
    </w:p>
    <w:p>
      <w:pPr>
        <w:pStyle w:val="Heading1"/>
      </w:pPr>
      <w:r>
        <w:t>Executive Summary</w:t>
      </w:r>
    </w:p>
    <w:p>
      <w:r>
        <w:t>Bhadale IT Innovations Pvt. Ltd., a pioneer in Quantum-AI integrated technologies, offers a unique licensing opportunity across a suite of high-impact inventions. These patents span processors, operating systems, robotic frameworks, economic models, and national safety systems. This proposal outlines the patent portfolio, licensing models, and collaborative potential for commercialization across industries and nations.</w:t>
      </w:r>
    </w:p>
    <w:p>
      <w:pPr>
        <w:pStyle w:val="Heading1"/>
      </w:pPr>
      <w:r>
        <w:t>Patent Portfolio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Patent Title</w:t>
            </w:r>
          </w:p>
        </w:tc>
        <w:tc>
          <w:tcPr>
            <w:tcW w:type="dxa" w:w="2160"/>
          </w:tcPr>
          <w:p>
            <w:r>
              <w:t>Type</w:t>
            </w:r>
          </w:p>
        </w:tc>
        <w:tc>
          <w:tcPr>
            <w:tcW w:type="dxa" w:w="2160"/>
          </w:tcPr>
          <w:p>
            <w:r>
              <w:t>Domain</w:t>
            </w:r>
          </w:p>
        </w:tc>
        <w:tc>
          <w:tcPr>
            <w:tcW w:type="dxa" w:w="2160"/>
          </w:tcPr>
          <w:p>
            <w:r>
              <w:t>Unique Features</w:t>
            </w:r>
          </w:p>
        </w:tc>
      </w:tr>
      <w:tr>
        <w:tc>
          <w:tcPr>
            <w:tcW w:type="dxa" w:w="2160"/>
          </w:tcPr>
          <w:p>
            <w:r>
              <w:t>QAI Modular Processor</w:t>
            </w:r>
          </w:p>
        </w:tc>
        <w:tc>
          <w:tcPr>
            <w:tcW w:type="dxa" w:w="2160"/>
          </w:tcPr>
          <w:p>
            <w:r>
              <w:t>Utility</w:t>
            </w:r>
          </w:p>
        </w:tc>
        <w:tc>
          <w:tcPr>
            <w:tcW w:type="dxa" w:w="2160"/>
          </w:tcPr>
          <w:p>
            <w:r>
              <w:t>Hardware/QAI</w:t>
            </w:r>
          </w:p>
        </w:tc>
        <w:tc>
          <w:tcPr>
            <w:tcW w:type="dxa" w:w="2160"/>
          </w:tcPr>
          <w:p>
            <w:r>
              <w:t>First-of-its-kind hybrid QPU-CPU-NPU processor, unified QAI-aware bus design</w:t>
            </w:r>
          </w:p>
        </w:tc>
      </w:tr>
      <w:tr>
        <w:tc>
          <w:tcPr>
            <w:tcW w:type="dxa" w:w="2160"/>
          </w:tcPr>
          <w:p>
            <w:r>
              <w:t>QAI Operating System</w:t>
            </w:r>
          </w:p>
        </w:tc>
        <w:tc>
          <w:tcPr>
            <w:tcW w:type="dxa" w:w="2160"/>
          </w:tcPr>
          <w:p>
            <w:r>
              <w:t>Utility</w:t>
            </w:r>
          </w:p>
        </w:tc>
        <w:tc>
          <w:tcPr>
            <w:tcW w:type="dxa" w:w="2160"/>
          </w:tcPr>
          <w:p>
            <w:r>
              <w:t>Software/OS</w:t>
            </w:r>
          </w:p>
        </w:tc>
        <w:tc>
          <w:tcPr>
            <w:tcW w:type="dxa" w:w="2160"/>
          </w:tcPr>
          <w:p>
            <w:r>
              <w:t>OS that manages quantum-classical workloads with fallback, hybrid schedulers</w:t>
            </w:r>
          </w:p>
        </w:tc>
      </w:tr>
      <w:tr>
        <w:tc>
          <w:tcPr>
            <w:tcW w:type="dxa" w:w="2160"/>
          </w:tcPr>
          <w:p>
            <w:r>
              <w:t>Emergency QAI Robot Comms System</w:t>
            </w:r>
          </w:p>
        </w:tc>
        <w:tc>
          <w:tcPr>
            <w:tcW w:type="dxa" w:w="2160"/>
          </w:tcPr>
          <w:p>
            <w:r>
              <w:t>Design+Util</w:t>
            </w:r>
          </w:p>
        </w:tc>
        <w:tc>
          <w:tcPr>
            <w:tcW w:type="dxa" w:w="2160"/>
          </w:tcPr>
          <w:p>
            <w:r>
              <w:t>Robotics/Safety</w:t>
            </w:r>
          </w:p>
        </w:tc>
        <w:tc>
          <w:tcPr>
            <w:tcW w:type="dxa" w:w="2160"/>
          </w:tcPr>
          <w:p>
            <w:r>
              <w:t>Integrated public safety AI framework + autonomous response robot coordination</w:t>
            </w:r>
          </w:p>
        </w:tc>
      </w:tr>
      <w:tr>
        <w:tc>
          <w:tcPr>
            <w:tcW w:type="dxa" w:w="2160"/>
          </w:tcPr>
          <w:p>
            <w:r>
              <w:t>QAI Tokenomics Engine (CleanEarth)</w:t>
            </w:r>
          </w:p>
        </w:tc>
        <w:tc>
          <w:tcPr>
            <w:tcW w:type="dxa" w:w="2160"/>
          </w:tcPr>
          <w:p>
            <w:r>
              <w:t>Process</w:t>
            </w:r>
          </w:p>
        </w:tc>
        <w:tc>
          <w:tcPr>
            <w:tcW w:type="dxa" w:w="2160"/>
          </w:tcPr>
          <w:p>
            <w:r>
              <w:t>Econ/GovTech</w:t>
            </w:r>
          </w:p>
        </w:tc>
        <w:tc>
          <w:tcPr>
            <w:tcW w:type="dxa" w:w="2160"/>
          </w:tcPr>
          <w:p>
            <w:r>
              <w:t>Blockchain-powered UBI + governance model with human productivity simulation</w:t>
            </w:r>
          </w:p>
        </w:tc>
      </w:tr>
    </w:tbl>
    <w:p>
      <w:pPr>
        <w:pStyle w:val="Heading1"/>
      </w:pPr>
      <w:r>
        <w:t>Key Differentiators</w:t>
      </w:r>
    </w:p>
    <w:p>
      <w:pPr>
        <w:pStyle w:val="Heading2"/>
      </w:pPr>
      <w:r>
        <w:t>Hybrid QAI Processor</w:t>
      </w:r>
    </w:p>
    <w:p>
      <w:pPr>
        <w:pStyle w:val="ListBullet"/>
      </w:pPr>
      <w:r>
        <w:t>- Combines quantum, AI, and classical logic at the chip level</w:t>
      </w:r>
    </w:p>
    <w:p>
      <w:pPr>
        <w:pStyle w:val="ListBullet"/>
      </w:pPr>
      <w:r>
        <w:t>- Dynamic workload shifting with quantum-aware instruction set</w:t>
      </w:r>
    </w:p>
    <w:p>
      <w:pPr>
        <w:pStyle w:val="ListBullet"/>
      </w:pPr>
      <w:r>
        <w:t>- Designed for advanced robotics, real-time defense, scientific computing</w:t>
      </w:r>
    </w:p>
    <w:p>
      <w:pPr>
        <w:pStyle w:val="Heading2"/>
      </w:pPr>
      <w:r>
        <w:t>QAI Operating System</w:t>
      </w:r>
    </w:p>
    <w:p>
      <w:pPr>
        <w:pStyle w:val="ListBullet"/>
      </w:pPr>
      <w:r>
        <w:t>- First OS to natively manage quantum-classical-AI workloads</w:t>
      </w:r>
    </w:p>
    <w:p>
      <w:pPr>
        <w:pStyle w:val="ListBullet"/>
      </w:pPr>
      <w:r>
        <w:t>- Supports virtual QPU nodes and post-quantum secure communications</w:t>
      </w:r>
    </w:p>
    <w:p>
      <w:pPr>
        <w:pStyle w:val="ListBullet"/>
      </w:pPr>
      <w:r>
        <w:t>- Real-time ML scheduler and fallback to classical emulation</w:t>
      </w:r>
    </w:p>
    <w:p>
      <w:pPr>
        <w:pStyle w:val="Heading2"/>
      </w:pPr>
      <w:r>
        <w:t>Emergency QAI Response Framework</w:t>
      </w:r>
    </w:p>
    <w:p>
      <w:pPr>
        <w:pStyle w:val="ListBullet"/>
      </w:pPr>
      <w:r>
        <w:t>- Autonomous robot &amp; AI agent orchestration for public safety</w:t>
      </w:r>
    </w:p>
    <w:p>
      <w:pPr>
        <w:pStyle w:val="ListBullet"/>
      </w:pPr>
      <w:r>
        <w:t>- Can integrate with National Disaster &amp; Forensic Teams</w:t>
      </w:r>
    </w:p>
    <w:p>
      <w:pPr>
        <w:pStyle w:val="ListBullet"/>
      </w:pPr>
      <w:r>
        <w:t>- Capable of legal-grade evidence collection &amp; encrypted reporting</w:t>
      </w:r>
    </w:p>
    <w:p>
      <w:pPr>
        <w:pStyle w:val="Heading2"/>
      </w:pPr>
      <w:r>
        <w:t>QAI Tokenomics + CleanEarth UBI Engine</w:t>
      </w:r>
    </w:p>
    <w:p>
      <w:pPr>
        <w:pStyle w:val="ListBullet"/>
      </w:pPr>
      <w:r>
        <w:t>- Encodes sustainable productivity as token value</w:t>
      </w:r>
    </w:p>
    <w:p>
      <w:pPr>
        <w:pStyle w:val="ListBullet"/>
      </w:pPr>
      <w:r>
        <w:t>- Built-in mechanisms for anti-corruption, traceability, and global transparency</w:t>
      </w:r>
    </w:p>
    <w:p>
      <w:pPr>
        <w:pStyle w:val="ListBullet"/>
      </w:pPr>
      <w:r>
        <w:t>- Can be adopted by digital nations, NGOs, or UN-related programs</w:t>
      </w:r>
    </w:p>
    <w:p>
      <w:pPr>
        <w:pStyle w:val="Heading1"/>
      </w:pPr>
      <w:r>
        <w:t>Licensing Models</w:t>
      </w:r>
    </w:p>
    <w:tbl>
      <w:tblPr>
        <w:tblStyle w:val="TableGrid"/>
        <w:tblW w:type="auto" w:w="0"/>
        <w:tblLook w:firstColumn="1" w:firstRow="1" w:lastColumn="0" w:lastRow="0" w:noHBand="0" w:noVBand="1" w:val="04A0"/>
      </w:tblPr>
      <w:tblGrid>
        <w:gridCol w:w="4320"/>
        <w:gridCol w:w="4320"/>
      </w:tblGrid>
      <w:tr>
        <w:tc>
          <w:tcPr>
            <w:tcW w:type="dxa" w:w="4320"/>
          </w:tcPr>
          <w:p>
            <w:r>
              <w:t>License Type</w:t>
            </w:r>
          </w:p>
        </w:tc>
        <w:tc>
          <w:tcPr>
            <w:tcW w:type="dxa" w:w="4320"/>
          </w:tcPr>
          <w:p>
            <w:r>
              <w:t>Description</w:t>
            </w:r>
          </w:p>
        </w:tc>
      </w:tr>
      <w:tr>
        <w:tc>
          <w:tcPr>
            <w:tcW w:type="dxa" w:w="4320"/>
          </w:tcPr>
          <w:p>
            <w:r>
              <w:t>Non-Exclusive</w:t>
            </w:r>
          </w:p>
        </w:tc>
        <w:tc>
          <w:tcPr>
            <w:tcW w:type="dxa" w:w="4320"/>
          </w:tcPr>
          <w:p>
            <w:r>
              <w:t>Multiple licensees can use the IP within defined limits</w:t>
            </w:r>
          </w:p>
        </w:tc>
      </w:tr>
      <w:tr>
        <w:tc>
          <w:tcPr>
            <w:tcW w:type="dxa" w:w="4320"/>
          </w:tcPr>
          <w:p>
            <w:r>
              <w:t>Exclusive</w:t>
            </w:r>
          </w:p>
        </w:tc>
        <w:tc>
          <w:tcPr>
            <w:tcW w:type="dxa" w:w="4320"/>
          </w:tcPr>
          <w:p>
            <w:r>
              <w:t>Single licensee gets rights for a domain/region</w:t>
            </w:r>
          </w:p>
        </w:tc>
      </w:tr>
      <w:tr>
        <w:tc>
          <w:tcPr>
            <w:tcW w:type="dxa" w:w="4320"/>
          </w:tcPr>
          <w:p>
            <w:r>
              <w:t>Field-Based</w:t>
            </w:r>
          </w:p>
        </w:tc>
        <w:tc>
          <w:tcPr>
            <w:tcW w:type="dxa" w:w="4320"/>
          </w:tcPr>
          <w:p>
            <w:r>
              <w:t>License limited to medical, defense, robotics, etc.</w:t>
            </w:r>
          </w:p>
        </w:tc>
      </w:tr>
      <w:tr>
        <w:tc>
          <w:tcPr>
            <w:tcW w:type="dxa" w:w="4320"/>
          </w:tcPr>
          <w:p>
            <w:r>
              <w:t>Joint Ventures</w:t>
            </w:r>
          </w:p>
        </w:tc>
        <w:tc>
          <w:tcPr>
            <w:tcW w:type="dxa" w:w="4320"/>
          </w:tcPr>
          <w:p>
            <w:r>
              <w:t>Strategic alliance with partial tech transfer, support, and co-branding</w:t>
            </w:r>
          </w:p>
        </w:tc>
      </w:tr>
      <w:tr>
        <w:tc>
          <w:tcPr>
            <w:tcW w:type="dxa" w:w="4320"/>
          </w:tcPr>
          <w:p>
            <w:r>
              <w:t>Government Use</w:t>
            </w:r>
          </w:p>
        </w:tc>
        <w:tc>
          <w:tcPr>
            <w:tcW w:type="dxa" w:w="4320"/>
          </w:tcPr>
          <w:p>
            <w:r>
              <w:t>Specialized license for public sector adoption (education, defense, safety)</w:t>
            </w:r>
          </w:p>
        </w:tc>
      </w:tr>
    </w:tbl>
    <w:p>
      <w:pPr>
        <w:pStyle w:val="Heading1"/>
      </w:pPr>
      <w:r>
        <w:t>Sample Terms (Indicative)</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Details</w:t>
            </w:r>
          </w:p>
        </w:tc>
      </w:tr>
      <w:tr>
        <w:tc>
          <w:tcPr>
            <w:tcW w:type="dxa" w:w="4320"/>
          </w:tcPr>
          <w:p>
            <w:r>
              <w:t>Royalty Base</w:t>
            </w:r>
          </w:p>
        </w:tc>
        <w:tc>
          <w:tcPr>
            <w:tcW w:type="dxa" w:w="4320"/>
          </w:tcPr>
          <w:p>
            <w:r>
              <w:t>3–7% of net revenue or per-device fee (negotiable)</w:t>
            </w:r>
          </w:p>
        </w:tc>
      </w:tr>
      <w:tr>
        <w:tc>
          <w:tcPr>
            <w:tcW w:type="dxa" w:w="4320"/>
          </w:tcPr>
          <w:p>
            <w:r>
              <w:t>Upfront Fee</w:t>
            </w:r>
          </w:p>
        </w:tc>
        <w:tc>
          <w:tcPr>
            <w:tcW w:type="dxa" w:w="4320"/>
          </w:tcPr>
          <w:p>
            <w:r>
              <w:t>Based on exclusivity and geography</w:t>
            </w:r>
          </w:p>
        </w:tc>
      </w:tr>
      <w:tr>
        <w:tc>
          <w:tcPr>
            <w:tcW w:type="dxa" w:w="4320"/>
          </w:tcPr>
          <w:p>
            <w:r>
              <w:t>Maintenance &amp; Updates</w:t>
            </w:r>
          </w:p>
        </w:tc>
        <w:tc>
          <w:tcPr>
            <w:tcW w:type="dxa" w:w="4320"/>
          </w:tcPr>
          <w:p>
            <w:r>
              <w:t>Licensor provides for fixed annual fee or embedded in royalty</w:t>
            </w:r>
          </w:p>
        </w:tc>
      </w:tr>
      <w:tr>
        <w:tc>
          <w:tcPr>
            <w:tcW w:type="dxa" w:w="4320"/>
          </w:tcPr>
          <w:p>
            <w:r>
              <w:t>Term</w:t>
            </w:r>
          </w:p>
        </w:tc>
        <w:tc>
          <w:tcPr>
            <w:tcW w:type="dxa" w:w="4320"/>
          </w:tcPr>
          <w:p>
            <w:r>
              <w:t>3–10 years, renewable</w:t>
            </w:r>
          </w:p>
        </w:tc>
      </w:tr>
      <w:tr>
        <w:tc>
          <w:tcPr>
            <w:tcW w:type="dxa" w:w="4320"/>
          </w:tcPr>
          <w:p>
            <w:r>
              <w:t>Territory</w:t>
            </w:r>
          </w:p>
        </w:tc>
        <w:tc>
          <w:tcPr>
            <w:tcW w:type="dxa" w:w="4320"/>
          </w:tcPr>
          <w:p>
            <w:r>
              <w:t>India, Canada, ASEAN, Europe, Global</w:t>
            </w:r>
          </w:p>
        </w:tc>
      </w:tr>
      <w:tr>
        <w:tc>
          <w:tcPr>
            <w:tcW w:type="dxa" w:w="4320"/>
          </w:tcPr>
          <w:p>
            <w:r>
              <w:t>Transferability</w:t>
            </w:r>
          </w:p>
        </w:tc>
        <w:tc>
          <w:tcPr>
            <w:tcW w:type="dxa" w:w="4320"/>
          </w:tcPr>
          <w:p>
            <w:r>
              <w:t>With prior written consent from Licensor</w:t>
            </w:r>
          </w:p>
        </w:tc>
      </w:tr>
    </w:tbl>
    <w:p>
      <w:pPr>
        <w:pStyle w:val="Heading1"/>
      </w:pPr>
      <w:r>
        <w:t>Target Markets &amp; Applications</w:t>
      </w:r>
    </w:p>
    <w:p>
      <w:pPr>
        <w:pStyle w:val="ListBullet"/>
      </w:pPr>
      <w:r>
        <w:t>- Defense &amp; Homeland Security: Emergency AI robotics, encrypted QAI comms</w:t>
      </w:r>
    </w:p>
    <w:p>
      <w:pPr>
        <w:pStyle w:val="ListBullet"/>
      </w:pPr>
      <w:r>
        <w:t>- Education &amp; R&amp;D: Quantum-AI hybrid hardware for advanced research</w:t>
      </w:r>
    </w:p>
    <w:p>
      <w:pPr>
        <w:pStyle w:val="ListBullet"/>
      </w:pPr>
      <w:r>
        <w:t>- Healthcare &amp; BioTech: Robotic assistance, QAI-powered diagnostics</w:t>
      </w:r>
    </w:p>
    <w:p>
      <w:pPr>
        <w:pStyle w:val="ListBullet"/>
      </w:pPr>
      <w:r>
        <w:t>- National Governance: Digital economy, public service automation via CleanEarth</w:t>
      </w:r>
    </w:p>
    <w:p>
      <w:pPr>
        <w:pStyle w:val="ListBullet"/>
      </w:pPr>
      <w:r>
        <w:t>- Private Industry: Smart factories, autonomous logistics, edge computing</w:t>
      </w:r>
    </w:p>
    <w:p>
      <w:pPr>
        <w:pStyle w:val="Heading1"/>
      </w:pPr>
      <w:r>
        <w:t>Collaboration Benefits</w:t>
      </w:r>
    </w:p>
    <w:p>
      <w:pPr>
        <w:pStyle w:val="ListBullet"/>
      </w:pPr>
      <w:r>
        <w:t>- Fast-track product development with patent-protected QAI platforms</w:t>
      </w:r>
    </w:p>
    <w:p>
      <w:pPr>
        <w:pStyle w:val="ListBullet"/>
      </w:pPr>
      <w:r>
        <w:t>- Co-marketing and branding with Bhadale IT Innovations</w:t>
      </w:r>
    </w:p>
    <w:p>
      <w:pPr>
        <w:pStyle w:val="ListBullet"/>
      </w:pPr>
      <w:r>
        <w:t>- Access to GitHub-based modular R&amp;D codebase</w:t>
      </w:r>
    </w:p>
    <w:p>
      <w:pPr>
        <w:pStyle w:val="ListBullet"/>
      </w:pPr>
      <w:r>
        <w:t>- Opportunity to shape next-gen QAI standards and governance</w:t>
      </w:r>
    </w:p>
    <w:p>
      <w:pPr>
        <w:pStyle w:val="Heading1"/>
      </w:pPr>
      <w:r>
        <w:t>Contact &amp; Proposal Follow-up</w:t>
      </w:r>
    </w:p>
    <w:p>
      <w:r>
        <w:t>Contact:</w:t>
        <w:br/>
        <w:t>Vijay Mohire</w:t>
        <w:br/>
        <w:t>Founder &amp; Lead Technologist</w:t>
        <w:br/>
        <w:t>📧 YourEmail@domain.com</w:t>
        <w:br/>
        <w:t>🌐 YourWebsite.com</w:t>
        <w:br/>
        <w:t>📞 +91-XXXXXXXXXX</w:t>
        <w:br/>
        <w:br/>
        <w:t>Proposal Validity: 90 days from issue</w:t>
        <w:br/>
        <w:br/>
        <w:t>Annexures Attached:</w:t>
        <w:br/>
        <w:t>- Full Patent Drafts (Provisional)</w:t>
        <w:br/>
        <w:t>- Technical Specs &amp; Architecture Diagrams</w:t>
        <w:br/>
        <w:t>- Licensing Agreement Templates (India + Intl)</w:t>
        <w:br/>
        <w:t>- IP Asset Tracker Spreadsheet</w:t>
        <w:br/>
        <w:t>- GitHub Repo Index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