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proof-of-concept-poc-document"/>
    <w:p>
      <w:pPr>
        <w:pStyle w:val="Heading1"/>
      </w:pPr>
      <w:r>
        <w:t xml:space="preserve">Proof of Concept (PoC) Document</w:t>
      </w:r>
    </w:p>
    <w:bookmarkStart w:id="20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Quantum + AI Hybrid Portfolio Optimization: Proof of Concept Proposal</w:t>
      </w:r>
    </w:p>
    <w:p>
      <w:r>
        <w:pict>
          <v:rect style="width:0;height:1.5pt" o:hralign="center" o:hrstd="t" o:hr="t"/>
        </w:pict>
      </w:r>
    </w:p>
    <w:bookmarkEnd w:id="20"/>
    <w:bookmarkStart w:id="21" w:name="executive-summary"/>
    <w:p>
      <w:pPr>
        <w:pStyle w:val="Heading2"/>
      </w:pPr>
      <w:r>
        <w:t xml:space="preserve">1. Executive Summary</w:t>
      </w:r>
    </w:p>
    <w:p>
      <w:pPr>
        <w:pStyle w:val="FirstParagraph"/>
      </w:pPr>
      <w:r>
        <w:t xml:space="preserve">This Proof of Concept (PoC) aims to validate the feasibility and value of</w:t>
      </w:r>
      <w:r>
        <w:t xml:space="preserve"> </w:t>
      </w:r>
      <w:r>
        <w:rPr>
          <w:b/>
          <w:bCs/>
        </w:rPr>
        <w:t xml:space="preserve">Quantum + AI (QAI) hybrid methods</w:t>
      </w:r>
      <w:r>
        <w:t xml:space="preserve"> </w:t>
      </w:r>
      <w:r>
        <w:t xml:space="preserve">for solving combinatorial portfolio optimization problems in finance. Using a prototype framework, we will demonstrate that hybrid approaches outperform traditional heuristics under realistic constraints (cardinality, sector caps, transaction costs). The PoC will serve as a foundation for scaling towards institutional adoption in banking, asset management, and financial research.</w:t>
      </w:r>
    </w:p>
    <w:p>
      <w:pPr>
        <w:pStyle w:val="BodyText"/>
      </w:pPr>
      <w:r>
        <w:t xml:space="preserve">We request funding, access to a research lab, and allocation of dedicated research staff to conduct this PoC.</w:t>
      </w:r>
    </w:p>
    <w:p>
      <w:r>
        <w:pict>
          <v:rect style="width:0;height:1.5pt" o:hralign="center" o:hrstd="t" o:hr="t"/>
        </w:pict>
      </w:r>
    </w:p>
    <w:bookmarkEnd w:id="21"/>
    <w:bookmarkStart w:id="22" w:name="objectives"/>
    <w:p>
      <w:pPr>
        <w:pStyle w:val="Heading2"/>
      </w:pPr>
      <w:r>
        <w:t xml:space="preserve">2. Objectives</w:t>
      </w:r>
    </w:p>
    <w:p>
      <w:pPr>
        <w:pStyle w:val="Compact"/>
        <w:numPr>
          <w:ilvl w:val="0"/>
          <w:numId w:val="1001"/>
        </w:numPr>
      </w:pPr>
      <w:r>
        <w:t xml:space="preserve">Demonstrate technical feasibility of QAI portfolio optimization.</w:t>
      </w:r>
    </w:p>
    <w:p>
      <w:pPr>
        <w:pStyle w:val="Compact"/>
        <w:numPr>
          <w:ilvl w:val="0"/>
          <w:numId w:val="1001"/>
        </w:numPr>
      </w:pPr>
      <w:r>
        <w:t xml:space="preserve">Compare QAI against classical heuristic solvers.</w:t>
      </w:r>
    </w:p>
    <w:p>
      <w:pPr>
        <w:pStyle w:val="Compact"/>
        <w:numPr>
          <w:ilvl w:val="0"/>
          <w:numId w:val="1001"/>
        </w:numPr>
      </w:pPr>
      <w:r>
        <w:t xml:space="preserve">Validate QAI performance under realistic investment constraints:</w:t>
      </w:r>
    </w:p>
    <w:p>
      <w:pPr>
        <w:pStyle w:val="Compact"/>
        <w:numPr>
          <w:ilvl w:val="1"/>
          <w:numId w:val="1002"/>
        </w:numPr>
      </w:pPr>
      <w:r>
        <w:t xml:space="preserve">Cardinality (select K assets from N).</w:t>
      </w:r>
    </w:p>
    <w:p>
      <w:pPr>
        <w:pStyle w:val="Compact"/>
        <w:numPr>
          <w:ilvl w:val="1"/>
          <w:numId w:val="1002"/>
        </w:numPr>
      </w:pPr>
      <w:r>
        <w:t xml:space="preserve">Sector exposure limits.</w:t>
      </w:r>
    </w:p>
    <w:p>
      <w:pPr>
        <w:pStyle w:val="Compact"/>
        <w:numPr>
          <w:ilvl w:val="1"/>
          <w:numId w:val="1002"/>
        </w:numPr>
      </w:pPr>
      <w:r>
        <w:t xml:space="preserve">Transaction cost penalties.</w:t>
      </w:r>
    </w:p>
    <w:p>
      <w:pPr>
        <w:pStyle w:val="Compact"/>
        <w:numPr>
          <w:ilvl w:val="0"/>
          <w:numId w:val="1001"/>
        </w:numPr>
      </w:pPr>
      <w:r>
        <w:t xml:space="preserve">Build demonstrators (Colab notebook, GitHub repo, technical report) for investor and corporate review.</w:t>
      </w:r>
    </w:p>
    <w:p>
      <w:r>
        <w:pict>
          <v:rect style="width:0;height:1.5pt" o:hralign="center" o:hrstd="t" o:hr="t"/>
        </w:pict>
      </w:r>
    </w:p>
    <w:bookmarkEnd w:id="22"/>
    <w:bookmarkStart w:id="23" w:name="problem-statement"/>
    <w:p>
      <w:pPr>
        <w:pStyle w:val="Heading2"/>
      </w:pPr>
      <w:r>
        <w:t xml:space="preserve">3. Problem Statement</w:t>
      </w:r>
    </w:p>
    <w:p>
      <w:pPr>
        <w:pStyle w:val="FirstParagraph"/>
      </w:pPr>
      <w:r>
        <w:t xml:space="preserve">Classical solvers (Markowitz, convex optimization) work efficiently for unconstrained or small problems, but fail to scale for real-world constraints. Portfolio optimization with</w:t>
      </w:r>
      <w:r>
        <w:t xml:space="preserve"> </w:t>
      </w:r>
      <w:r>
        <w:rPr>
          <w:b/>
          <w:bCs/>
        </w:rPr>
        <w:t xml:space="preserve">50–500 assets</w:t>
      </w:r>
      <w:r>
        <w:t xml:space="preserve">, cardinality restrictions, and sector limits becomes NP-hard.</w:t>
      </w:r>
    </w:p>
    <w:p>
      <w:pPr>
        <w:pStyle w:val="BodyText"/>
      </w:pPr>
      <w:r>
        <w:t xml:space="preserve">QAI offers a</w:t>
      </w:r>
      <w:r>
        <w:t xml:space="preserve"> </w:t>
      </w:r>
      <w:r>
        <w:rPr>
          <w:b/>
          <w:bCs/>
        </w:rPr>
        <w:t xml:space="preserve">quantum-inspired search</w:t>
      </w:r>
      <w:r>
        <w:t xml:space="preserve"> </w:t>
      </w:r>
      <w:r>
        <w:t xml:space="preserve">(via QUBO formulation + simulated annealing / QAOA simulation) that explores combinatorial solution spaces efficiently. This PoC will show practical gains.</w:t>
      </w:r>
    </w:p>
    <w:p>
      <w:r>
        <w:pict>
          <v:rect style="width:0;height:1.5pt" o:hralign="center" o:hrstd="t" o:hr="t"/>
        </w:pict>
      </w:r>
    </w:p>
    <w:bookmarkEnd w:id="23"/>
    <w:bookmarkStart w:id="24" w:name="scope"/>
    <w:p>
      <w:pPr>
        <w:pStyle w:val="Heading2"/>
      </w:pPr>
      <w:r>
        <w:t xml:space="preserve">4. Scope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Domain</w:t>
      </w:r>
      <w:r>
        <w:t xml:space="preserve">: Finance (portfolio optimization, risk-adjusted return).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Assets</w:t>
      </w:r>
      <w:r>
        <w:t xml:space="preserve">: 60 synthetic/real assets (expandable to S&amp;P/TSX 60).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Constraints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Cardinality: Select exactly K assets (e.g., K=10).</w:t>
      </w:r>
    </w:p>
    <w:p>
      <w:pPr>
        <w:pStyle w:val="Compact"/>
        <w:numPr>
          <w:ilvl w:val="1"/>
          <w:numId w:val="1004"/>
        </w:numPr>
      </w:pPr>
      <w:r>
        <w:t xml:space="preserve">Max weight per asset.</w:t>
      </w:r>
    </w:p>
    <w:p>
      <w:pPr>
        <w:pStyle w:val="Compact"/>
        <w:numPr>
          <w:ilvl w:val="1"/>
          <w:numId w:val="1004"/>
        </w:numPr>
      </w:pPr>
      <w:r>
        <w:t xml:space="preserve">Sector caps (e.g., ≤35% per sector).</w:t>
      </w:r>
    </w:p>
    <w:p>
      <w:pPr>
        <w:pStyle w:val="Compact"/>
        <w:numPr>
          <w:ilvl w:val="1"/>
          <w:numId w:val="1004"/>
        </w:numPr>
      </w:pPr>
      <w:r>
        <w:t xml:space="preserve">Transaction cost penalties.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Methods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Classical baseline: greedy heuristic + local reweighting.</w:t>
      </w:r>
    </w:p>
    <w:p>
      <w:pPr>
        <w:pStyle w:val="Compact"/>
        <w:numPr>
          <w:ilvl w:val="1"/>
          <w:numId w:val="1005"/>
        </w:numPr>
      </w:pPr>
      <w:r>
        <w:t xml:space="preserve">QAI solver: hybrid simulated annealing/QUBO + continuous reweight.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Deliverables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Demonstration notebook (Colab, GitHub).</w:t>
      </w:r>
    </w:p>
    <w:p>
      <w:pPr>
        <w:pStyle w:val="Compact"/>
        <w:numPr>
          <w:ilvl w:val="1"/>
          <w:numId w:val="1006"/>
        </w:numPr>
      </w:pPr>
      <w:r>
        <w:t xml:space="preserve">Comparison metrics, convergence plots, efficient frontier visuals.</w:t>
      </w:r>
    </w:p>
    <w:p>
      <w:pPr>
        <w:pStyle w:val="Compact"/>
        <w:numPr>
          <w:ilvl w:val="1"/>
          <w:numId w:val="1006"/>
        </w:numPr>
      </w:pPr>
      <w:r>
        <w:t xml:space="preserve">PoC report (this document).</w:t>
      </w:r>
    </w:p>
    <w:p>
      <w:r>
        <w:pict>
          <v:rect style="width:0;height:1.5pt" o:hralign="center" o:hrstd="t" o:hr="t"/>
        </w:pict>
      </w:r>
    </w:p>
    <w:bookmarkEnd w:id="24"/>
    <w:bookmarkStart w:id="30" w:name="methodology"/>
    <w:p>
      <w:pPr>
        <w:pStyle w:val="Heading2"/>
      </w:pPr>
      <w:r>
        <w:t xml:space="preserve">5. Methodology</w:t>
      </w:r>
    </w:p>
    <w:bookmarkStart w:id="25" w:name="step-1-data-preparation"/>
    <w:p>
      <w:pPr>
        <w:pStyle w:val="Heading3"/>
      </w:pPr>
      <w:r>
        <w:t xml:space="preserve">Step 1: Data Preparation</w:t>
      </w:r>
    </w:p>
    <w:p>
      <w:pPr>
        <w:pStyle w:val="Compact"/>
        <w:numPr>
          <w:ilvl w:val="0"/>
          <w:numId w:val="1007"/>
        </w:numPr>
      </w:pPr>
      <w:r>
        <w:t xml:space="preserve">Fetch asset prices (yfinance) or generate synthetic dataset.</w:t>
      </w:r>
    </w:p>
    <w:p>
      <w:pPr>
        <w:pStyle w:val="Compact"/>
        <w:numPr>
          <w:ilvl w:val="0"/>
          <w:numId w:val="1007"/>
        </w:numPr>
      </w:pPr>
      <w:r>
        <w:t xml:space="preserve">Compute returns, covariance matrix, and sector assignments.</w:t>
      </w:r>
    </w:p>
    <w:bookmarkEnd w:id="25"/>
    <w:bookmarkStart w:id="26" w:name="step-2-classical-baseline"/>
    <w:p>
      <w:pPr>
        <w:pStyle w:val="Heading3"/>
      </w:pPr>
      <w:r>
        <w:t xml:space="preserve">Step 2: Classical Baseline</w:t>
      </w:r>
    </w:p>
    <w:p>
      <w:pPr>
        <w:pStyle w:val="Compact"/>
        <w:numPr>
          <w:ilvl w:val="0"/>
          <w:numId w:val="1008"/>
        </w:numPr>
      </w:pPr>
      <w:r>
        <w:t xml:space="preserve">Apply greedy heuristic (top-K by return/volatility ratio).</w:t>
      </w:r>
    </w:p>
    <w:p>
      <w:pPr>
        <w:pStyle w:val="Compact"/>
        <w:numPr>
          <w:ilvl w:val="0"/>
          <w:numId w:val="1008"/>
        </w:numPr>
      </w:pPr>
      <w:r>
        <w:t xml:space="preserve">Compute continuous weights using Markowitz optimization.</w:t>
      </w:r>
    </w:p>
    <w:bookmarkEnd w:id="26"/>
    <w:bookmarkStart w:id="27" w:name="step-3-qai-solver"/>
    <w:p>
      <w:pPr>
        <w:pStyle w:val="Heading3"/>
      </w:pPr>
      <w:r>
        <w:t xml:space="preserve">Step 3: QAI Solver</w:t>
      </w:r>
    </w:p>
    <w:p>
      <w:pPr>
        <w:pStyle w:val="Compact"/>
        <w:numPr>
          <w:ilvl w:val="0"/>
          <w:numId w:val="1009"/>
        </w:numPr>
      </w:pPr>
      <w:r>
        <w:t xml:space="preserve">Encode problem into binary selection (QUBO-style).</w:t>
      </w:r>
    </w:p>
    <w:p>
      <w:pPr>
        <w:pStyle w:val="Compact"/>
        <w:numPr>
          <w:ilvl w:val="0"/>
          <w:numId w:val="1009"/>
        </w:numPr>
      </w:pPr>
      <w:r>
        <w:t xml:space="preserve">Apply simulated annealing to search selection space while optimizing weights.</w:t>
      </w:r>
    </w:p>
    <w:p>
      <w:pPr>
        <w:pStyle w:val="Compact"/>
        <w:numPr>
          <w:ilvl w:val="0"/>
          <w:numId w:val="1009"/>
        </w:numPr>
      </w:pPr>
      <w:r>
        <w:t xml:space="preserve">Track convergence and energy reduction.</w:t>
      </w:r>
    </w:p>
    <w:bookmarkEnd w:id="27"/>
    <w:bookmarkStart w:id="28" w:name="step-4-evaluation-metrics"/>
    <w:p>
      <w:pPr>
        <w:pStyle w:val="Heading3"/>
      </w:pPr>
      <w:r>
        <w:t xml:space="preserve">Step 4: Evaluation Metrics</w:t>
      </w:r>
    </w:p>
    <w:p>
      <w:pPr>
        <w:pStyle w:val="Compact"/>
        <w:numPr>
          <w:ilvl w:val="0"/>
          <w:numId w:val="1010"/>
        </w:numPr>
      </w:pPr>
      <w:r>
        <w:t xml:space="preserve">Annualized return, variance, Sharpe ratio.</w:t>
      </w:r>
    </w:p>
    <w:p>
      <w:pPr>
        <w:pStyle w:val="Compact"/>
        <w:numPr>
          <w:ilvl w:val="0"/>
          <w:numId w:val="1010"/>
        </w:numPr>
      </w:pPr>
      <w:r>
        <w:t xml:space="preserve">Total objective (return – λ·variance + penalties).</w:t>
      </w:r>
    </w:p>
    <w:p>
      <w:pPr>
        <w:pStyle w:val="Compact"/>
        <w:numPr>
          <w:ilvl w:val="0"/>
          <w:numId w:val="1010"/>
        </w:numPr>
      </w:pPr>
      <w:r>
        <w:t xml:space="preserve">Constraint satisfaction (sector, cardinality, cost).</w:t>
      </w:r>
    </w:p>
    <w:bookmarkEnd w:id="28"/>
    <w:bookmarkStart w:id="29" w:name="step-5-analysis-reporting"/>
    <w:p>
      <w:pPr>
        <w:pStyle w:val="Heading3"/>
      </w:pPr>
      <w:r>
        <w:t xml:space="preserve">Step 5: Analysis &amp; Reporting</w:t>
      </w:r>
    </w:p>
    <w:p>
      <w:pPr>
        <w:pStyle w:val="Compact"/>
        <w:numPr>
          <w:ilvl w:val="0"/>
          <w:numId w:val="1011"/>
        </w:numPr>
      </w:pPr>
      <w:r>
        <w:t xml:space="preserve">Compare classical vs QAI performance.</w:t>
      </w:r>
    </w:p>
    <w:p>
      <w:pPr>
        <w:pStyle w:val="Compact"/>
        <w:numPr>
          <w:ilvl w:val="0"/>
          <w:numId w:val="1011"/>
        </w:numPr>
      </w:pPr>
      <w:r>
        <w:t xml:space="preserve">Generate tables, convergence curves, and efficient frontier charts.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results-prototype"/>
    <w:p>
      <w:pPr>
        <w:pStyle w:val="Heading2"/>
      </w:pPr>
      <w:r>
        <w:t xml:space="preserve">6. Results (Prototype)</w:t>
      </w:r>
    </w:p>
    <w:bookmarkStart w:id="31" w:name="example-summary-comparison"/>
    <w:p>
      <w:pPr>
        <w:pStyle w:val="Heading3"/>
      </w:pPr>
      <w:r>
        <w:t xml:space="preserve">Example Summary Comparison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7"/>
        <w:gridCol w:w="728"/>
        <w:gridCol w:w="910"/>
        <w:gridCol w:w="819"/>
        <w:gridCol w:w="728"/>
        <w:gridCol w:w="819"/>
        <w:gridCol w:w="2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Return</w:t>
            </w:r>
          </w:p>
        </w:tc>
        <w:tc>
          <w:tcPr/>
          <w:p>
            <w:pPr>
              <w:pStyle w:val="Compact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  <w:r>
              <w:t xml:space="preserve">Std Dev</w:t>
            </w:r>
          </w:p>
        </w:tc>
        <w:tc>
          <w:tcPr/>
          <w:p>
            <w:pPr>
              <w:pStyle w:val="Compact"/>
            </w:pPr>
            <w:r>
              <w:t xml:space="preserve">Sharpe</w:t>
            </w:r>
          </w:p>
        </w:tc>
        <w:tc>
          <w:tcPr/>
          <w:p>
            <w:pPr>
              <w:pStyle w:val="Compact"/>
            </w:pPr>
            <w:r>
              <w:t xml:space="preserve">Tx Cost</w:t>
            </w:r>
          </w:p>
        </w:tc>
        <w:tc>
          <w:tcPr/>
          <w:p>
            <w:pPr>
              <w:pStyle w:val="Compact"/>
            </w:pPr>
            <w:r>
              <w:t xml:space="preserve">Objective (lower better)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Classical (Greedy)</w:t>
            </w:r>
          </w:p>
        </w:tc>
        <w:tc>
          <w:tcPr/>
          <w:p>
            <w:pPr>
              <w:pStyle w:val="Compact"/>
            </w:pPr>
            <w:r>
              <w:t xml:space="preserve">0.4542</w:t>
            </w:r>
          </w:p>
        </w:tc>
        <w:tc>
          <w:tcPr/>
          <w:p>
            <w:pPr>
              <w:pStyle w:val="Compact"/>
            </w:pPr>
            <w:r>
              <w:t xml:space="preserve">0.0082</w:t>
            </w:r>
          </w:p>
        </w:tc>
        <w:tc>
          <w:tcPr/>
          <w:p>
            <w:pPr>
              <w:pStyle w:val="Compact"/>
            </w:pPr>
            <w:r>
              <w:t xml:space="preserve">0.0905</w:t>
            </w:r>
          </w:p>
        </w:tc>
        <w:tc>
          <w:tcPr/>
          <w:p>
            <w:pPr>
              <w:pStyle w:val="Compact"/>
            </w:pPr>
            <w:r>
              <w:t xml:space="preserve">5.02</w:t>
            </w:r>
          </w:p>
        </w:tc>
        <w:tc>
          <w:tcPr/>
          <w:p>
            <w:pPr>
              <w:pStyle w:val="Compac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  <w:r>
              <w:t xml:space="preserve">-0.4440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QAI (SA Hybrid)</w:t>
            </w:r>
          </w:p>
        </w:tc>
        <w:tc>
          <w:tcPr/>
          <w:p>
            <w:pPr>
              <w:pStyle w:val="Compact"/>
            </w:pPr>
            <w:r>
              <w:t xml:space="preserve">0.6560</w:t>
            </w:r>
          </w:p>
        </w:tc>
        <w:tc>
          <w:tcPr/>
          <w:p>
            <w:pPr>
              <w:pStyle w:val="Compact"/>
            </w:pPr>
            <w:r>
              <w:t xml:space="preserve">0.0341</w:t>
            </w:r>
          </w:p>
        </w:tc>
        <w:tc>
          <w:tcPr/>
          <w:p>
            <w:pPr>
              <w:pStyle w:val="Compact"/>
            </w:pPr>
            <w:r>
              <w:t xml:space="preserve">0.1845</w:t>
            </w:r>
          </w:p>
        </w:tc>
        <w:tc>
          <w:tcPr/>
          <w:p>
            <w:pPr>
              <w:pStyle w:val="Compact"/>
            </w:pPr>
            <w:r>
              <w:t xml:space="preserve">3.55</w:t>
            </w:r>
          </w:p>
        </w:tc>
        <w:tc>
          <w:tcPr/>
          <w:p>
            <w:pPr>
              <w:pStyle w:val="Compac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  <w:r>
              <w:t xml:space="preserve">-0.6199</w:t>
            </w:r>
          </w:p>
        </w:tc>
      </w:tr>
    </w:tbl>
    <w:p>
      <w:pPr>
        <w:pStyle w:val="BodyText"/>
      </w:pPr>
      <w:r>
        <w:rPr>
          <w:b/>
          <w:bCs/>
        </w:rPr>
        <w:t xml:space="preserve">Key insight</w:t>
      </w:r>
      <w:r>
        <w:t xml:space="preserve">: QAI explores higher-return, higher-risk portfolios while minimizing overall objective (including constraints). This demonstrates flexibility beyond greedy heuristics.</w:t>
      </w:r>
    </w:p>
    <w:bookmarkEnd w:id="31"/>
    <w:bookmarkStart w:id="32" w:name="convergence-trace-qai"/>
    <w:p>
      <w:pPr>
        <w:pStyle w:val="Heading3"/>
      </w:pPr>
      <w:r>
        <w:t xml:space="preserve">Convergence Trace (QAI)</w:t>
      </w:r>
    </w:p>
    <w:p>
      <w:pPr>
        <w:pStyle w:val="FirstParagraph"/>
      </w:pPr>
      <w:r>
        <w:rPr>
          <w:i/>
          <w:iCs/>
        </w:rPr>
        <w:t xml:space="preserve">(Figure: Energy vs Iterations plot showing steady improvement over SA search)</w:t>
      </w:r>
    </w:p>
    <w:bookmarkEnd w:id="32"/>
    <w:bookmarkStart w:id="33" w:name="weight-comparison"/>
    <w:p>
      <w:pPr>
        <w:pStyle w:val="Heading3"/>
      </w:pPr>
      <w:r>
        <w:t xml:space="preserve">Weight Comparison</w:t>
      </w:r>
    </w:p>
    <w:p>
      <w:pPr>
        <w:pStyle w:val="FirstParagraph"/>
      </w:pPr>
      <w:r>
        <w:rPr>
          <w:i/>
          <w:iCs/>
        </w:rPr>
        <w:t xml:space="preserve">(Figure: Bar chart comparing asset allocations chosen by classical vs QAI method)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deliverables"/>
    <w:p>
      <w:pPr>
        <w:pStyle w:val="Heading2"/>
      </w:pPr>
      <w:r>
        <w:t xml:space="preserve">7. Deliverables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Technical Deliverables:</w:t>
      </w:r>
    </w:p>
    <w:p>
      <w:pPr>
        <w:pStyle w:val="Compact"/>
        <w:numPr>
          <w:ilvl w:val="1"/>
          <w:numId w:val="1013"/>
        </w:numPr>
      </w:pPr>
      <w:r>
        <w:t xml:space="preserve">Colab Notebook (open-source demo).</w:t>
      </w:r>
    </w:p>
    <w:p>
      <w:pPr>
        <w:pStyle w:val="Compact"/>
        <w:numPr>
          <w:ilvl w:val="1"/>
          <w:numId w:val="1013"/>
        </w:numPr>
      </w:pPr>
      <w:r>
        <w:t xml:space="preserve">GitHub repo with documented code.</w:t>
      </w:r>
    </w:p>
    <w:p>
      <w:pPr>
        <w:pStyle w:val="Compact"/>
        <w:numPr>
          <w:ilvl w:val="1"/>
          <w:numId w:val="1013"/>
        </w:numPr>
      </w:pPr>
      <w:r>
        <w:t xml:space="preserve">Comparative evaluation tables &amp; plots.</w:t>
      </w:r>
    </w:p>
    <w:p>
      <w:pPr>
        <w:pStyle w:val="Compact"/>
        <w:numPr>
          <w:ilvl w:val="1"/>
          <w:numId w:val="1013"/>
        </w:numPr>
      </w:pPr>
      <w:r>
        <w:t xml:space="preserve">This PoC document.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Organizational Deliverables:</w:t>
      </w:r>
    </w:p>
    <w:p>
      <w:pPr>
        <w:pStyle w:val="Compact"/>
        <w:numPr>
          <w:ilvl w:val="1"/>
          <w:numId w:val="1014"/>
        </w:numPr>
      </w:pPr>
      <w:r>
        <w:t xml:space="preserve">Funding proposal for research expansion.</w:t>
      </w:r>
    </w:p>
    <w:p>
      <w:pPr>
        <w:pStyle w:val="Compact"/>
        <w:numPr>
          <w:ilvl w:val="1"/>
          <w:numId w:val="1014"/>
        </w:numPr>
      </w:pPr>
      <w:r>
        <w:t xml:space="preserve">Hiring of research staff (1 quantum engineer, 1 AI researcher, 1 financial data analyst).</w:t>
      </w:r>
    </w:p>
    <w:p>
      <w:pPr>
        <w:pStyle w:val="Compact"/>
        <w:numPr>
          <w:ilvl w:val="1"/>
          <w:numId w:val="1014"/>
        </w:numPr>
      </w:pPr>
      <w:r>
        <w:t xml:space="preserve">Access to research lab and cloud compute resources.</w:t>
      </w:r>
    </w:p>
    <w:p>
      <w:r>
        <w:pict>
          <v:rect style="width:0;height:1.5pt" o:hralign="center" o:hrstd="t" o:hr="t"/>
        </w:pict>
      </w:r>
    </w:p>
    <w:bookmarkEnd w:id="35"/>
    <w:bookmarkStart w:id="38" w:name="funding-resource-request"/>
    <w:p>
      <w:pPr>
        <w:pStyle w:val="Heading2"/>
      </w:pPr>
      <w:r>
        <w:t xml:space="preserve">8. Funding &amp; Resource Request</w:t>
      </w:r>
    </w:p>
    <w:bookmarkStart w:id="36" w:name="funding-requirement"/>
    <w:p>
      <w:pPr>
        <w:pStyle w:val="Heading3"/>
      </w:pPr>
      <w:r>
        <w:t xml:space="preserve">Funding Requirement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Total Requested:</w:t>
      </w:r>
      <w:r>
        <w:t xml:space="preserve"> </w:t>
      </w:r>
      <w:r>
        <w:t xml:space="preserve">USD $250,000 for 12 months.</w:t>
      </w:r>
    </w:p>
    <w:bookmarkEnd w:id="36"/>
    <w:bookmarkStart w:id="37" w:name="breakdown"/>
    <w:p>
      <w:pPr>
        <w:pStyle w:val="Heading3"/>
      </w:pPr>
      <w:r>
        <w:t xml:space="preserve">Breakdown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Item</w:t>
            </w:r>
          </w:p>
        </w:tc>
        <w:tc>
          <w:tcPr/>
          <w:p>
            <w:pPr>
              <w:pStyle w:val="Compact"/>
            </w:pPr>
            <w:r>
              <w:t xml:space="preserve">Cost (USD)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Staff (3 FTE)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Compute &amp; Licenses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Research Lab Access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Travel, Conferences</w:t>
            </w:r>
          </w:p>
        </w:tc>
        <w:tc>
          <w:tcPr/>
          <w:p>
            <w:pPr>
              <w:pStyle w:val="Compact"/>
            </w:pPr>
            <w:r>
              <w:t xml:space="preserve">$10,000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Contingency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39" w:name="conclusion"/>
    <w:p>
      <w:pPr>
        <w:pStyle w:val="Heading2"/>
      </w:pPr>
      <w:r>
        <w:t xml:space="preserve">9. Conclusion</w:t>
      </w:r>
    </w:p>
    <w:p>
      <w:pPr>
        <w:pStyle w:val="FirstParagraph"/>
      </w:pPr>
      <w:r>
        <w:t xml:space="preserve">This PoC establishes the groundwork for</w:t>
      </w:r>
      <w:r>
        <w:t xml:space="preserve"> </w:t>
      </w:r>
      <w:r>
        <w:rPr>
          <w:b/>
          <w:bCs/>
        </w:rPr>
        <w:t xml:space="preserve">QAI-driven portfolio optimization</w:t>
      </w:r>
      <w:r>
        <w:t xml:space="preserve"> </w:t>
      </w:r>
      <w:r>
        <w:t xml:space="preserve">and demonstrates measurable advantages in constrained financial decision-making. With requested funding and resources, we will validate and extend this work to industry-scale datasets, positioning Bhadale IT Hub as a pioneer in practical Quantum + AI finance applications.</w:t>
      </w:r>
    </w:p>
    <w:p>
      <w:r>
        <w:pict>
          <v:rect style="width:0;height:1.5pt" o:hralign="center" o:hrstd="t" o:hr="t"/>
        </w:pict>
      </w:r>
    </w:p>
    <w:bookmarkEnd w:id="39"/>
    <w:bookmarkStart w:id="40" w:name="appendices"/>
    <w:p>
      <w:pPr>
        <w:pStyle w:val="Heading2"/>
      </w:pPr>
      <w:r>
        <w:t xml:space="preserve">10. Appendices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Appendix A:</w:t>
      </w:r>
      <w:r>
        <w:t xml:space="preserve"> </w:t>
      </w:r>
      <w:r>
        <w:t xml:space="preserve">Prototype Python code (Colab-compatible).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Appendix B:</w:t>
      </w:r>
      <w:r>
        <w:t xml:space="preserve"> </w:t>
      </w:r>
      <w:r>
        <w:t xml:space="preserve">Example output figures (convergence trace, weight bar charts, efficient frontier).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Appendix C:</w:t>
      </w:r>
      <w:r>
        <w:t xml:space="preserve"> </w:t>
      </w:r>
      <w:r>
        <w:t xml:space="preserve">References to QAOA, simulated annealing, and financial optimization literature.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2025-09-13T12:58:24Z</dcterms:created>
  <dcterms:modified xsi:type="dcterms:W3CDTF">2025-09-13T12:58:24Z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