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96ee03ce9741d3c2c84bfef2bfbc441ab86318e"/>
    <w:p>
      <w:pPr>
        <w:pStyle w:val="Heading1"/>
      </w:pPr>
      <w:r>
        <w:t xml:space="preserve">QAI Project Document Pack – Checklist (Populated for QAI_PoC_Portfolio_Optimization)</w:t>
      </w:r>
    </w:p>
    <w:p>
      <w:pPr>
        <w:pStyle w:val="FirstParagraph"/>
      </w:pPr>
      <w:r>
        <w:t xml:space="preserve">This document pack provides the required checklist and populated details for the approved</w:t>
      </w:r>
      <w:r>
        <w:t xml:space="preserve"> </w:t>
      </w:r>
      <w:r>
        <w:rPr>
          <w:b/>
          <w:bCs/>
        </w:rPr>
        <w:t xml:space="preserve">QAI Portfolio Optimization PoC</w:t>
      </w:r>
      <w:r>
        <w:t xml:space="preserve"> </w:t>
      </w:r>
      <w:r>
        <w:t xml:space="preserve">conducted by</w:t>
      </w:r>
      <w:r>
        <w:t xml:space="preserve"> </w:t>
      </w:r>
      <w:r>
        <w:rPr>
          <w:b/>
          <w:bCs/>
        </w:rPr>
        <w:t xml:space="preserve">Bhadale IT Hub</w:t>
      </w:r>
      <w:r>
        <w:t xml:space="preserve">. It includes sections for</w:t>
      </w:r>
      <w:r>
        <w:t xml:space="preserve"> </w:t>
      </w:r>
      <w:r>
        <w:rPr>
          <w:b/>
          <w:bCs/>
        </w:rPr>
        <w:t xml:space="preserve">Legal/IP, Financial, Operational, and Risk &amp; Compliance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legal-intellectual-property-ip"/>
    <w:p>
      <w:pPr>
        <w:pStyle w:val="Heading2"/>
      </w:pPr>
      <w:r>
        <w:t xml:space="preserve">1. Legal &amp; Intellectual Property (IP)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Non-Disclosure Agreement (NDA)</w:t>
      </w:r>
      <w:r>
        <w:br/>
      </w:r>
      <w:r>
        <w:rPr>
          <w:i/>
          <w:iCs/>
        </w:rPr>
        <w:t xml:space="preserve">Parties Involved:</w:t>
      </w:r>
      <w:r>
        <w:t xml:space="preserve"> </w:t>
      </w:r>
      <w:r>
        <w:t xml:space="preserve">Bhadale IT Hub, {{Client_Name}}</w:t>
      </w:r>
      <w:r>
        <w:br/>
      </w:r>
      <w:r>
        <w:rPr>
          <w:i/>
          <w:iCs/>
        </w:rPr>
        <w:t xml:space="preserve">Scope:</w:t>
      </w:r>
      <w:r>
        <w:t xml:space="preserve"> </w:t>
      </w:r>
      <w:r>
        <w:t xml:space="preserve">Confidentiality of QAI portfolio optimization methods, financial datasets, prototype code.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IP Ownership Agreement</w:t>
      </w:r>
      <w:r>
        <w:br/>
      </w:r>
      <w:r>
        <w:rPr>
          <w:i/>
          <w:iCs/>
        </w:rPr>
        <w:t xml:space="preserve">Background IP:</w:t>
      </w:r>
      <w:r>
        <w:t xml:space="preserve"> </w:t>
      </w:r>
      <w:r>
        <w:t xml:space="preserve">QAI Processor, QAI Datacenter, QAI OS, QAI Ops, QAI PLM frameworks, and QAI Portfolio Optimization prototype.</w:t>
      </w:r>
      <w:r>
        <w:br/>
      </w:r>
      <w:r>
        <w:rPr>
          <w:i/>
          <w:iCs/>
        </w:rPr>
        <w:t xml:space="preserve">Foreground IP:</w:t>
      </w:r>
      <w:r>
        <w:t xml:space="preserve"> </w:t>
      </w:r>
      <w:r>
        <w:t xml:space="preserve">Project-specific optimization datasets, refined models, reports generated during PoC.</w:t>
      </w:r>
      <w:r>
        <w:br/>
      </w:r>
      <w:r>
        <w:rPr>
          <w:i/>
          <w:iCs/>
        </w:rPr>
        <w:t xml:space="preserve">Ownership Structure:</w:t>
      </w:r>
      <w:r>
        <w:t xml:space="preserve"> </w:t>
      </w:r>
      <w:r>
        <w:t xml:space="preserve">Background IP remains with Bhadale IT Hub; Foreground IP shared under client license.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Patent Filings / Provisional Applications</w:t>
      </w:r>
      <w:r>
        <w:br/>
      </w:r>
      <w:r>
        <w:rPr>
          <w:i/>
          <w:iCs/>
        </w:rPr>
        <w:t xml:space="preserve">Areas Covered:</w:t>
      </w:r>
      <w:r>
        <w:t xml:space="preserve"> </w:t>
      </w:r>
      <w:r>
        <w:t xml:space="preserve">Hybrid QAI optimization frameworks, combinatorial QUBO encoding, simulated annealing + continuous reweight hybrid method.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Technology Transfer Agreement</w:t>
      </w:r>
      <w:r>
        <w:br/>
      </w:r>
      <w:r>
        <w:rPr>
          <w:i/>
          <w:iCs/>
        </w:rPr>
        <w:t xml:space="preserve">Transfer Scope:</w:t>
      </w:r>
      <w:r>
        <w:t xml:space="preserve"> </w:t>
      </w:r>
      <w:r>
        <w:t xml:space="preserve">Colab notebook, Python code, project documentation, performance metrics.</w:t>
      </w:r>
      <w:r>
        <w:br/>
      </w:r>
      <w:r>
        <w:rPr>
          <w:i/>
          <w:iCs/>
        </w:rPr>
        <w:t xml:space="preserve">Restrictions:</w:t>
      </w:r>
      <w:r>
        <w:t xml:space="preserve"> </w:t>
      </w:r>
      <w:r>
        <w:t xml:space="preserve">Reuse restricted to project scope, no transfer to competitors.</w:t>
      </w:r>
    </w:p>
    <w:p>
      <w:r>
        <w:pict>
          <v:rect style="width:0;height:1.5pt" o:hralign="center" o:hrstd="t" o:hr="t"/>
        </w:pict>
      </w:r>
    </w:p>
    <w:bookmarkEnd w:id="20"/>
    <w:bookmarkStart w:id="21" w:name="financial-commercial"/>
    <w:p>
      <w:pPr>
        <w:pStyle w:val="Heading2"/>
      </w:pPr>
      <w:r>
        <w:t xml:space="preserve">2. Financial &amp; Commercial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Master Service Agreement (MSA)</w:t>
      </w:r>
      <w:r>
        <w:br/>
      </w:r>
      <w:r>
        <w:t xml:space="preserve">Governs relationship, liability, warranty clauses for portfolio optimization project.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Statement of Work (SoW)</w:t>
      </w:r>
      <w:r>
        <w:br/>
      </w:r>
      <w:r>
        <w:rPr>
          <w:i/>
          <w:iCs/>
        </w:rPr>
        <w:t xml:space="preserve">Deliverables:</w:t>
      </w:r>
      <w:r>
        <w:t xml:space="preserve"> </w:t>
      </w:r>
      <w:r>
        <w:t xml:space="preserve">Colab notebook, GitHub repo, PoC report, figures, and presentations.</w:t>
      </w:r>
      <w:r>
        <w:br/>
      </w:r>
      <w:r>
        <w:rPr>
          <w:i/>
          <w:iCs/>
        </w:rPr>
        <w:t xml:space="preserve">Timeline:</w:t>
      </w:r>
      <w:r>
        <w:t xml:space="preserve"> </w:t>
      </w:r>
      <w:r>
        <w:t xml:space="preserve">12-month pilot project.</w:t>
      </w:r>
      <w:r>
        <w:br/>
      </w:r>
      <w:r>
        <w:rPr>
          <w:i/>
          <w:iCs/>
        </w:rPr>
        <w:t xml:space="preserve">Milestones:</w:t>
      </w:r>
      <w:r>
        <w:t xml:space="preserve"> </w:t>
      </w:r>
      <w:r>
        <w:t xml:space="preserve">PoC completion → Pilot → Full rollout.</w:t>
      </w:r>
      <w:r>
        <w:br/>
      </w:r>
      <w:r>
        <w:rPr>
          <w:i/>
          <w:iCs/>
        </w:rPr>
        <w:t xml:space="preserve">Success Criteria:</w:t>
      </w:r>
      <w:r>
        <w:t xml:space="preserve"> </w:t>
      </w:r>
      <w:r>
        <w:t xml:space="preserve">Demonstrated optimization improvements, scalability beyond classical methods.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Pricing &amp; Billing Structure</w:t>
      </w:r>
      <w:r>
        <w:br/>
      </w:r>
      <w:r>
        <w:rPr>
          <w:i/>
          <w:iCs/>
        </w:rPr>
        <w:t xml:space="preserve">Model:</w:t>
      </w:r>
      <w:r>
        <w:t xml:space="preserve"> </w:t>
      </w:r>
      <w:r>
        <w:t xml:space="preserve">Hybrid – base fee + performance incentive.</w:t>
      </w:r>
      <w:r>
        <w:br/>
      </w:r>
      <w:r>
        <w:rPr>
          <w:i/>
          <w:iCs/>
        </w:rPr>
        <w:t xml:space="preserve">Cost Breakdown:</w:t>
      </w:r>
      <w:r>
        <w:t xml:space="preserve"> </w:t>
      </w:r>
      <w:r>
        <w:t xml:space="preserve">Staff ($150,000), Cloud Compute &amp; Licenses ($40,000), Lab Access ($30,000), Travel ($10,000), Contingency ($20,000).</w:t>
      </w:r>
      <w:r>
        <w:br/>
      </w:r>
      <w:r>
        <w:rPr>
          <w:i/>
          <w:iCs/>
        </w:rPr>
        <w:t xml:space="preserve">Payment Schedule:</w:t>
      </w:r>
      <w:r>
        <w:t xml:space="preserve"> </w:t>
      </w:r>
      <w:r>
        <w:t xml:space="preserve">Quarterly billing against milestones.</w:t>
      </w:r>
    </w:p>
    <w:p>
      <w:pPr>
        <w:numPr>
          <w:ilvl w:val="0"/>
          <w:numId w:val="1008"/>
        </w:numPr>
      </w:pPr>
      <w:r>
        <w:rPr>
          <w:b/>
          <w:bCs/>
        </w:rPr>
        <w:t xml:space="preserve">Accounting / Audit Provisions</w:t>
      </w:r>
      <w:r>
        <w:br/>
      </w:r>
      <w:r>
        <w:t xml:space="preserve">Reporting: Quarterly financials to client steering committee.</w:t>
      </w:r>
    </w:p>
    <w:p>
      <w:r>
        <w:pict>
          <v:rect style="width:0;height:1.5pt" o:hralign="center" o:hrstd="t" o:hr="t"/>
        </w:pict>
      </w:r>
    </w:p>
    <w:bookmarkEnd w:id="21"/>
    <w:bookmarkStart w:id="22" w:name="operational-management"/>
    <w:p>
      <w:pPr>
        <w:pStyle w:val="Heading2"/>
      </w:pPr>
      <w:r>
        <w:t xml:space="preserve">3. Operational &amp; Management</w:t>
      </w:r>
    </w:p>
    <w:p>
      <w:pPr>
        <w:numPr>
          <w:ilvl w:val="0"/>
          <w:numId w:val="1009"/>
        </w:numPr>
      </w:pPr>
      <w:r>
        <w:rPr>
          <w:b/>
          <w:bCs/>
        </w:rPr>
        <w:t xml:space="preserve">Governance Charter / Steering Committee Terms</w:t>
      </w:r>
      <w:r>
        <w:br/>
      </w:r>
      <w:r>
        <w:rPr>
          <w:i/>
          <w:iCs/>
        </w:rPr>
        <w:t xml:space="preserve">Decision-making body:</w:t>
      </w:r>
      <w:r>
        <w:t xml:space="preserve"> </w:t>
      </w:r>
      <w:r>
        <w:t xml:space="preserve">Joint Steering Committee (client + Bhadale IT Hub).</w:t>
      </w:r>
      <w:r>
        <w:br/>
      </w:r>
      <w:r>
        <w:rPr>
          <w:i/>
          <w:iCs/>
        </w:rPr>
        <w:t xml:space="preserve">Meeting Cadence:</w:t>
      </w:r>
      <w:r>
        <w:t xml:space="preserve"> </w:t>
      </w:r>
      <w:r>
        <w:t xml:space="preserve">Monthly reviews.</w:t>
      </w:r>
    </w:p>
    <w:p>
      <w:pPr>
        <w:numPr>
          <w:ilvl w:val="0"/>
          <w:numId w:val="1010"/>
        </w:numPr>
      </w:pPr>
      <w:r>
        <w:rPr>
          <w:b/>
          <w:bCs/>
        </w:rPr>
        <w:t xml:space="preserve">Resource &amp; Responsibility Matrix (RACI)</w:t>
      </w:r>
      <w:r>
        <w:br/>
      </w:r>
      <w:r>
        <w:rPr>
          <w:i/>
          <w:iCs/>
        </w:rPr>
        <w:t xml:space="preserve">Client-managed:</w:t>
      </w:r>
      <w:r>
        <w:t xml:space="preserve"> </w:t>
      </w:r>
      <w:r>
        <w:t xml:space="preserve">Secure financial datasets, compliance approval.</w:t>
      </w:r>
      <w:r>
        <w:br/>
      </w:r>
      <w:r>
        <w:rPr>
          <w:i/>
          <w:iCs/>
        </w:rPr>
        <w:t xml:space="preserve">Startup-managed:</w:t>
      </w:r>
      <w:r>
        <w:t xml:space="preserve"> </w:t>
      </w:r>
      <w:r>
        <w:t xml:space="preserve">Algorithms, code, optimization framework, research staff.</w:t>
      </w:r>
      <w:r>
        <w:br/>
      </w:r>
      <w:r>
        <w:rPr>
          <w:i/>
          <w:iCs/>
        </w:rPr>
        <w:t xml:space="preserve">Shared:</w:t>
      </w:r>
      <w:r>
        <w:t xml:space="preserve"> </w:t>
      </w:r>
      <w:r>
        <w:t xml:space="preserve">Reporting, pilot execution.</w:t>
      </w:r>
    </w:p>
    <w:p>
      <w:pPr>
        <w:numPr>
          <w:ilvl w:val="0"/>
          <w:numId w:val="1011"/>
        </w:numPr>
      </w:pPr>
      <w:r>
        <w:rPr>
          <w:b/>
          <w:bCs/>
        </w:rPr>
        <w:t xml:space="preserve">Data Handling Agreement</w:t>
      </w:r>
      <w:r>
        <w:br/>
      </w:r>
      <w:r>
        <w:rPr>
          <w:i/>
          <w:iCs/>
        </w:rPr>
        <w:t xml:space="preserve">Data Sources:</w:t>
      </w:r>
      <w:r>
        <w:t xml:space="preserve"> </w:t>
      </w:r>
      <w:r>
        <w:t xml:space="preserve">Synthetic datasets + client-provided anonymized data.</w:t>
      </w:r>
      <w:r>
        <w:br/>
      </w:r>
      <w:r>
        <w:rPr>
          <w:i/>
          <w:iCs/>
        </w:rPr>
        <w:t xml:space="preserve">Storage/Access:</w:t>
      </w:r>
      <w:r>
        <w:t xml:space="preserve"> </w:t>
      </w:r>
      <w:r>
        <w:t xml:space="preserve">Secure cloud (client-approved).</w:t>
      </w:r>
      <w:r>
        <w:br/>
      </w:r>
      <w:r>
        <w:rPr>
          <w:i/>
          <w:iCs/>
        </w:rPr>
        <w:t xml:space="preserve">Compliance:</w:t>
      </w:r>
      <w:r>
        <w:t xml:space="preserve"> </w:t>
      </w:r>
      <w:r>
        <w:t xml:space="preserve">PIPEDA (Canada), GDPR (EU clients).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Operational Continuity Plan</w:t>
      </w:r>
      <w:r>
        <w:br/>
      </w:r>
      <w:r>
        <w:t xml:space="preserve">Failover: Multi-cloud redundancy.</w:t>
      </w:r>
      <w:r>
        <w:br/>
      </w:r>
      <w:r>
        <w:t xml:space="preserve">Disaster Recovery: 48-hour RTO.</w:t>
      </w:r>
    </w:p>
    <w:p>
      <w:r>
        <w:pict>
          <v:rect style="width:0;height:1.5pt" o:hralign="center" o:hrstd="t" o:hr="t"/>
        </w:pict>
      </w:r>
    </w:p>
    <w:bookmarkEnd w:id="22"/>
    <w:bookmarkStart w:id="23" w:name="risk-compliance"/>
    <w:p>
      <w:pPr>
        <w:pStyle w:val="Heading2"/>
      </w:pPr>
      <w:r>
        <w:t xml:space="preserve">4. Risk &amp; Compliance</w:t>
      </w:r>
    </w:p>
    <w:p>
      <w:pPr>
        <w:numPr>
          <w:ilvl w:val="0"/>
          <w:numId w:val="1013"/>
        </w:numPr>
      </w:pPr>
      <w:r>
        <w:rPr>
          <w:b/>
          <w:bCs/>
        </w:rPr>
        <w:t xml:space="preserve">Cybersecurity Checklist</w:t>
      </w:r>
      <w:r>
        <w:br/>
      </w:r>
      <w:r>
        <w:rPr>
          <w:i/>
          <w:iCs/>
        </w:rPr>
        <w:t xml:space="preserve">Standards:</w:t>
      </w:r>
      <w:r>
        <w:t xml:space="preserve"> </w:t>
      </w:r>
      <w:r>
        <w:t xml:space="preserve">ISO27001-aligned controls; NIST risk framework.</w:t>
      </w:r>
      <w:r>
        <w:br/>
      </w:r>
      <w:r>
        <w:rPr>
          <w:i/>
          <w:iCs/>
        </w:rPr>
        <w:t xml:space="preserve">Penetration Testing:</w:t>
      </w:r>
      <w:r>
        <w:t xml:space="preserve"> </w:t>
      </w:r>
      <w:r>
        <w:t xml:space="preserve">Required for client deployment phase.</w:t>
      </w:r>
    </w:p>
    <w:p>
      <w:pPr>
        <w:numPr>
          <w:ilvl w:val="0"/>
          <w:numId w:val="1014"/>
        </w:numPr>
      </w:pPr>
      <w:r>
        <w:rPr>
          <w:b/>
          <w:bCs/>
        </w:rPr>
        <w:t xml:space="preserve">Ethical AI / Quantum Compliance Statement</w:t>
      </w:r>
      <w:r>
        <w:br/>
      </w:r>
      <w:r>
        <w:rPr>
          <w:i/>
          <w:iCs/>
        </w:rPr>
        <w:t xml:space="preserve">Bias Mitigation:</w:t>
      </w:r>
      <w:r>
        <w:t xml:space="preserve"> </w:t>
      </w:r>
      <w:r>
        <w:t xml:space="preserve">Portfolio selection tested against fairness metrics.</w:t>
      </w:r>
      <w:r>
        <w:br/>
      </w:r>
      <w:r>
        <w:rPr>
          <w:i/>
          <w:iCs/>
        </w:rPr>
        <w:t xml:space="preserve">Explainability Tools:</w:t>
      </w:r>
      <w:r>
        <w:t xml:space="preserve"> </w:t>
      </w:r>
      <w:r>
        <w:t xml:space="preserve">Reporting with visual frontiers and allocation transparency.</w:t>
      </w:r>
    </w:p>
    <w:p>
      <w:pPr>
        <w:numPr>
          <w:ilvl w:val="0"/>
          <w:numId w:val="1015"/>
        </w:numPr>
      </w:pPr>
      <w:r>
        <w:rPr>
          <w:b/>
          <w:bCs/>
        </w:rPr>
        <w:t xml:space="preserve">Insurance Coverage</w:t>
      </w:r>
      <w:r>
        <w:br/>
      </w:r>
      <w:r>
        <w:rPr>
          <w:i/>
          <w:iCs/>
        </w:rPr>
        <w:t xml:space="preserve">Tech Liability (E&amp;O):</w:t>
      </w:r>
      <w:r>
        <w:t xml:space="preserve"> </w:t>
      </w:r>
      <w:r>
        <w:t xml:space="preserve">To be procured.</w:t>
      </w:r>
      <w:r>
        <w:br/>
      </w:r>
      <w:r>
        <w:rPr>
          <w:i/>
          <w:iCs/>
        </w:rPr>
        <w:t xml:space="preserve">Data Breach Insurance:</w:t>
      </w:r>
      <w:r>
        <w:t xml:space="preserve"> </w:t>
      </w:r>
      <w:r>
        <w:t xml:space="preserve">To be procured.</w:t>
      </w:r>
    </w:p>
    <w:p>
      <w:pPr>
        <w:numPr>
          <w:ilvl w:val="0"/>
          <w:numId w:val="1016"/>
        </w:numPr>
      </w:pPr>
      <w:r>
        <w:rPr>
          <w:b/>
          <w:bCs/>
        </w:rPr>
        <w:t xml:space="preserve">Multi-Vendor Coordination</w:t>
      </w:r>
      <w:r>
        <w:t xml:space="preserve"> </w:t>
      </w:r>
      <w:r>
        <w:t xml:space="preserve">(if applicable)</w:t>
      </w:r>
      <w:r>
        <w:br/>
      </w:r>
      <w:r>
        <w:rPr>
          <w:i/>
          <w:iCs/>
        </w:rPr>
        <w:t xml:space="preserve">Non-Disclosure across Vendors:</w:t>
      </w:r>
      <w:r>
        <w:t xml:space="preserve"> </w:t>
      </w:r>
      <w:r>
        <w:t xml:space="preserve">Required clause if multiple PoC vendors are selected.</w:t>
      </w:r>
      <w:r>
        <w:br/>
      </w:r>
      <w:r>
        <w:rPr>
          <w:i/>
          <w:iCs/>
        </w:rPr>
        <w:t xml:space="preserve">Joint Test Plan / Metrics:</w:t>
      </w:r>
      <w:r>
        <w:t xml:space="preserve"> </w:t>
      </w:r>
      <w:r>
        <w:t xml:space="preserve">Client defines evaluation KPIs.</w:t>
      </w:r>
      <w:r>
        <w:br/>
      </w:r>
      <w:r>
        <w:rPr>
          <w:i/>
          <w:iCs/>
        </w:rPr>
        <w:t xml:space="preserve">Escrow Arrangements:</w:t>
      </w:r>
      <w:r>
        <w:t xml:space="preserve"> </w:t>
      </w:r>
      <w:r>
        <w:t xml:space="preserve">Optional for source code.</w:t>
      </w:r>
    </w:p>
    <w:p>
      <w:r>
        <w:pict>
          <v:rect style="width:0;height:1.5pt" o:hralign="center" o:hrstd="t" o:hr="t"/>
        </w:pict>
      </w:r>
    </w:p>
    <w:bookmarkEnd w:id="23"/>
    <w:bookmarkStart w:id="25" w:name="internal-startup-preparation"/>
    <w:p>
      <w:pPr>
        <w:pStyle w:val="Heading2"/>
      </w:pPr>
      <w:r>
        <w:t xml:space="preserve">5. Internal Startup Preparation</w:t>
      </w:r>
    </w:p>
    <w:p>
      <w:pPr>
        <w:pStyle w:val="Compact"/>
        <w:numPr>
          <w:ilvl w:val="0"/>
          <w:numId w:val="1017"/>
        </w:numPr>
      </w:pPr>
      <w:r>
        <w:rPr>
          <w:b/>
          <w:bCs/>
        </w:rPr>
        <w:t xml:space="preserve">IP Docket</w:t>
      </w:r>
      <w:r>
        <w:t xml:space="preserve"> </w:t>
      </w:r>
      <w:r>
        <w:t xml:space="preserve">– Documented all QAI frameworks (Processor, OS, Datacenter, Robots, Ops, PLM, Portfolio Optimization).</w:t>
      </w:r>
    </w:p>
    <w:p>
      <w:pPr>
        <w:pStyle w:val="Compact"/>
        <w:numPr>
          <w:ilvl w:val="0"/>
          <w:numId w:val="1018"/>
        </w:numPr>
      </w:pPr>
      <w:r>
        <w:rPr>
          <w:b/>
          <w:bCs/>
        </w:rPr>
        <w:t xml:space="preserve">Patent Roadmap</w:t>
      </w:r>
      <w:r>
        <w:t xml:space="preserve"> </w:t>
      </w:r>
      <w:r>
        <w:t xml:space="preserve">– Provisional filings for hybrid QAI portfolio optimization and system-level QAI integration.</w:t>
      </w:r>
    </w:p>
    <w:p>
      <w:pPr>
        <w:pStyle w:val="Compact"/>
        <w:numPr>
          <w:ilvl w:val="0"/>
          <w:numId w:val="1019"/>
        </w:numPr>
      </w:pPr>
      <w:r>
        <w:rPr>
          <w:b/>
          <w:bCs/>
        </w:rPr>
        <w:t xml:space="preserve">Governance Model</w:t>
      </w:r>
      <w:r>
        <w:t xml:space="preserve"> </w:t>
      </w:r>
      <w:r>
        <w:t xml:space="preserve">– Org chart with research staff (Quantum engineer, AI researcher, Financial data analyst).</w:t>
      </w:r>
    </w:p>
    <w:p>
      <w:pPr>
        <w:pStyle w:val="Compact"/>
        <w:numPr>
          <w:ilvl w:val="0"/>
          <w:numId w:val="1020"/>
        </w:numPr>
      </w:pPr>
      <w:r>
        <w:rPr>
          <w:b/>
          <w:bCs/>
        </w:rPr>
        <w:t xml:space="preserve">Cost Sheet</w:t>
      </w:r>
      <w:r>
        <w:t xml:space="preserve"> </w:t>
      </w:r>
      <w:r>
        <w:t xml:space="preserve">– Total $250,000 request for 12 months.</w:t>
      </w:r>
    </w:p>
    <w:p>
      <w:pPr>
        <w:pStyle w:val="Compact"/>
        <w:numPr>
          <w:ilvl w:val="0"/>
          <w:numId w:val="1021"/>
        </w:numPr>
      </w:pPr>
      <w:r>
        <w:rPr>
          <w:b/>
          <w:bCs/>
        </w:rPr>
        <w:t xml:space="preserve">Growth Story</w:t>
      </w:r>
      <w:r>
        <w:t xml:space="preserve"> </w:t>
      </w:r>
      <w:r>
        <w:t xml:space="preserve">– Path: PoC → Pilot with financial client → SaaS product release → Cross-industry adoption.</w:t>
      </w:r>
    </w:p>
    <w:p>
      <w:r>
        <w:pict>
          <v:rect style="width:0;height:1.5pt" o:hralign="center" o:hrstd="t" o:hr="t"/>
        </w:pict>
      </w:r>
    </w:p>
    <w:bookmarkStart w:id="24" w:name="usage-notes"/>
    <w:p>
      <w:pPr>
        <w:pStyle w:val="Heading3"/>
      </w:pPr>
      <w:r>
        <w:t xml:space="preserve">✅ Usage Notes</w:t>
      </w:r>
    </w:p>
    <w:p>
      <w:pPr>
        <w:pStyle w:val="Compact"/>
        <w:numPr>
          <w:ilvl w:val="0"/>
          <w:numId w:val="1022"/>
        </w:numPr>
      </w:pPr>
      <w:r>
        <w:t xml:space="preserve">All populated fields based on</w:t>
      </w:r>
      <w:r>
        <w:t xml:space="preserve"> </w:t>
      </w:r>
      <w:r>
        <w:rPr>
          <w:b/>
          <w:bCs/>
        </w:rPr>
        <w:t xml:space="preserve">QAI_PoC_Portfolio_Optimization_package</w:t>
      </w:r>
      <w:r>
        <w:t xml:space="preserve"> </w:t>
      </w:r>
      <w:r>
        <w:t xml:space="preserve">deliverables.</w:t>
      </w:r>
    </w:p>
    <w:p>
      <w:pPr>
        <w:pStyle w:val="Compact"/>
        <w:numPr>
          <w:ilvl w:val="0"/>
          <w:numId w:val="1022"/>
        </w:numPr>
      </w:pPr>
      <w:r>
        <w:t xml:space="preserve">Placeholders remain for client-specific details (e.g., {{Client_Name}}, {{Payment_Terms}}).</w:t>
      </w:r>
    </w:p>
    <w:p>
      <w:pPr>
        <w:pStyle w:val="Compact"/>
        <w:numPr>
          <w:ilvl w:val="0"/>
          <w:numId w:val="1022"/>
        </w:numPr>
      </w:pPr>
      <w:r>
        <w:t xml:space="preserve">This serves as a reference pack for project governance, funding, and IP protection.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3"/>
  </w:num>
  <w:num w:numId="1002">
    <w:abstractNumId w:val="993"/>
  </w:num>
  <w:num w:numId="1003">
    <w:abstractNumId w:val="993"/>
  </w:num>
  <w:num w:numId="1004">
    <w:abstractNumId w:val="992"/>
  </w:num>
  <w:num w:numId="1005">
    <w:abstractNumId w:val="993"/>
  </w:num>
  <w:num w:numId="1006">
    <w:abstractNumId w:val="993"/>
  </w:num>
  <w:num w:numId="1007">
    <w:abstractNumId w:val="993"/>
  </w:num>
  <w:num w:numId="1008">
    <w:abstractNumId w:val="992"/>
  </w:num>
  <w:num w:numId="1009">
    <w:abstractNumId w:val="993"/>
  </w:num>
  <w:num w:numId="1010">
    <w:abstractNumId w:val="993"/>
  </w:num>
  <w:num w:numId="1011">
    <w:abstractNumId w:val="993"/>
  </w:num>
  <w:num w:numId="1012">
    <w:abstractNumId w:val="992"/>
  </w:num>
  <w:num w:numId="1013">
    <w:abstractNumId w:val="993"/>
  </w:num>
  <w:num w:numId="1014">
    <w:abstractNumId w:val="993"/>
  </w:num>
  <w:num w:numId="1015">
    <w:abstractNumId w:val="992"/>
  </w:num>
  <w:num w:numId="1016">
    <w:abstractNumId w:val="993"/>
  </w:num>
  <w:num w:numId="1017">
    <w:abstractNumId w:val="993"/>
  </w:num>
  <w:num w:numId="1018">
    <w:abstractNumId w:val="993"/>
  </w:num>
  <w:num w:numId="1019">
    <w:abstractNumId w:val="993"/>
  </w:num>
  <w:num w:numId="1020">
    <w:abstractNumId w:val="993"/>
  </w:num>
  <w:num w:numId="1021">
    <w:abstractNumId w:val="993"/>
  </w:num>
  <w:num w:numId="102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2025-09-13T13:48:03Z</dcterms:created>
  <dcterms:modified xsi:type="dcterms:W3CDTF">2025-09-13T13:48:03Z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