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qai-enterprise-framework-proposal"/>
    <w:p>
      <w:pPr>
        <w:pStyle w:val="Heading1"/>
      </w:pPr>
      <w:r>
        <w:t xml:space="preserve">QAI Enterprise Framework Proposal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Quantum Artificial Intelligence (QAI) represents a paradigm shift in how enterprises design, engineer, and operate products and services. Traditional architectures, repositories, and offline stacks often struggle with real-time change management, creating risks for operations and governance. Our approach delivers a</w:t>
      </w:r>
      <w:r>
        <w:t xml:space="preserve"> </w:t>
      </w:r>
      <w:r>
        <w:rPr>
          <w:b/>
          <w:bCs/>
        </w:rPr>
        <w:t xml:space="preserve">living framework</w:t>
      </w:r>
      <w:r>
        <w:t xml:space="preserve"> </w:t>
      </w:r>
      <w:r>
        <w:t xml:space="preserve">that integrates</w:t>
      </w:r>
      <w:r>
        <w:t xml:space="preserve"> </w:t>
      </w:r>
      <w:r>
        <w:rPr>
          <w:b/>
          <w:bCs/>
        </w:rPr>
        <w:t xml:space="preserve">Enterprise, Systems, and Software engineering</w:t>
      </w:r>
      <w:r>
        <w:t xml:space="preserve"> </w:t>
      </w:r>
      <w:r>
        <w:t xml:space="preserve">into one coherent, agile structure.</w:t>
      </w:r>
    </w:p>
    <w:p>
      <w:pPr>
        <w:pStyle w:val="BodyText"/>
      </w:pPr>
      <w:r>
        <w:t xml:space="preserve">This proposal outlines the QAI Enterprise Framework as developed by</w:t>
      </w:r>
      <w:r>
        <w:t xml:space="preserve"> </w:t>
      </w:r>
      <w:r>
        <w:rPr>
          <w:b/>
          <w:bCs/>
        </w:rPr>
        <w:t xml:space="preserve">Bhadale IT Innovations Pvt. Ltd.</w:t>
      </w:r>
      <w:r>
        <w:t xml:space="preserve">, highlighting architecture, engineering flows, modules, tools, and merits for adoption.</w:t>
      </w:r>
    </w:p>
    <w:p>
      <w:r>
        <w:pict>
          <v:rect style="width:0;height:1.5pt" o:hralign="center" o:hrstd="t" o:hr="t"/>
        </w:pict>
      </w:r>
    </w:p>
    <w:bookmarkEnd w:id="20"/>
    <w:bookmarkStart w:id="23" w:name="core-framework-design"/>
    <w:p>
      <w:pPr>
        <w:pStyle w:val="Heading2"/>
      </w:pPr>
      <w:r>
        <w:t xml:space="preserve">2. Core Framework Design</w:t>
      </w:r>
    </w:p>
    <w:p>
      <w:pPr>
        <w:pStyle w:val="FirstParagraph"/>
      </w:pPr>
      <w:r>
        <w:t xml:space="preserve">The framework is structured into three layers, each with two perspectives (Architecture and Engineering):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Enterprise (EA / EE)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Systems (SA / SE)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Software (SwA / SwE)</w:t>
      </w:r>
    </w:p>
    <w:p>
      <w:pPr>
        <w:pStyle w:val="BodyText"/>
      </w:pPr>
      <w:r>
        <w:t xml:space="preserve">These six entities intersect to provide a</w:t>
      </w:r>
      <w:r>
        <w:t xml:space="preserve"> </w:t>
      </w:r>
      <w:r>
        <w:rPr>
          <w:b/>
          <w:bCs/>
        </w:rPr>
        <w:t xml:space="preserve">360° view</w:t>
      </w:r>
      <w:r>
        <w:t xml:space="preserve"> </w:t>
      </w:r>
      <w:r>
        <w:t xml:space="preserve">of the enterprise, with junction points enabling traceability from strategic vision down to runtime artifacts.</w:t>
      </w:r>
    </w:p>
    <w:bookmarkStart w:id="21" w:name="concentric-onion-architecture"/>
    <w:p>
      <w:pPr>
        <w:pStyle w:val="Heading3"/>
      </w:pPr>
      <w:r>
        <w:t xml:space="preserve">2.1 Concentric Onion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Outer Layer (Enterprise):</w:t>
      </w:r>
      <w:r>
        <w:t xml:space="preserve"> </w:t>
      </w:r>
      <w:r>
        <w:t xml:space="preserve">Abstract, client-facing, highly configurable.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Middle Layer (Systems):</w:t>
      </w:r>
      <w:r>
        <w:t xml:space="preserve"> </w:t>
      </w:r>
      <w:r>
        <w:t xml:space="preserve">Cyber-physical, MBSE-driven, standards-based.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Inner Layer (Software):</w:t>
      </w:r>
      <w:r>
        <w:t xml:space="preserve"> </w:t>
      </w:r>
      <w:r>
        <w:t xml:space="preserve">Dense, runtime, and productized.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Core:</w:t>
      </w:r>
      <w:r>
        <w:t xml:space="preserve"> </w:t>
      </w:r>
      <w:r>
        <w:rPr>
          <w:b/>
          <w:bCs/>
        </w:rPr>
        <w:t xml:space="preserve">Bhadale QAI Hub</w:t>
      </w:r>
      <w:r>
        <w:t xml:space="preserve"> </w:t>
      </w:r>
      <w:r>
        <w:t xml:space="preserve">(Live Registry, Event Bus, Policy Engine, Zero-Trust Fabric).</w:t>
      </w:r>
    </w:p>
    <w:bookmarkEnd w:id="21"/>
    <w:bookmarkStart w:id="22" w:name="slice-junction-and-pyramid-views"/>
    <w:p>
      <w:pPr>
        <w:pStyle w:val="Heading3"/>
      </w:pPr>
      <w:r>
        <w:t xml:space="preserve">2.2 Slice, Junction, and Pyramid Views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Onion Slice:</w:t>
      </w:r>
      <w:r>
        <w:t xml:space="preserve"> </w:t>
      </w:r>
      <w:r>
        <w:t xml:space="preserve">Trace a single capability from enterprise intent → system design → software artifact → QAI 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Junction Lattice:</w:t>
      </w:r>
      <w:r>
        <w:t xml:space="preserve"> </w:t>
      </w:r>
      <w:r>
        <w:t xml:space="preserve">Grid of integration blocks showing cross-layer mappings (e.g., Capability Map ↔ System Map ↔ API Contract).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Pyramid:</w:t>
      </w:r>
      <w:r>
        <w:t xml:space="preserve"> </w:t>
      </w:r>
      <w:r>
        <w:t xml:space="preserve">Simplified executive hierarchy view, showing Enterprise at base, Systems in middle, Software at top, with Core embedded.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block-diagram-clean-view"/>
    <w:p>
      <w:pPr>
        <w:pStyle w:val="Heading2"/>
      </w:pPr>
      <w:r>
        <w:t xml:space="preserve">3. Block Diagram (Clean View)</w:t>
      </w:r>
    </w:p>
    <w:p>
      <w:pPr>
        <w:pStyle w:val="FirstParagraph"/>
      </w:pPr>
      <w:r>
        <w:t xml:space="preserve">A structured block diagram illustrates: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Enterprise Layer:</w:t>
      </w:r>
      <w:r>
        <w:t xml:space="preserve"> </w:t>
      </w:r>
      <w:r>
        <w:t xml:space="preserve">Client Intake, Capability Maps, Policy-as-Code, ERP/Portfolio Ops, with plugins for Industry, Compliance, and Client Workflows.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Systems Layer:</w:t>
      </w:r>
      <w:r>
        <w:t xml:space="preserve"> </w:t>
      </w:r>
      <w:r>
        <w:t xml:space="preserve">MBSE repository, Digital Twin simulations, ICD/TRL/MRL, hardware blueprints (QAI Processor, Datacenter, Robotics).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Software Layer:</w:t>
      </w:r>
      <w:r>
        <w:t xml:space="preserve"> </w:t>
      </w:r>
      <w:r>
        <w:t xml:space="preserve">Hybrid runtimes, APIs, CI/CD pipelines, artifacts with SBOM and PQC gates.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Core:</w:t>
      </w:r>
      <w:r>
        <w:t xml:space="preserve"> </w:t>
      </w:r>
      <w:r>
        <w:rPr>
          <w:b/>
          <w:bCs/>
        </w:rPr>
        <w:t xml:space="preserve">Bhadale QAI Hub</w:t>
      </w:r>
      <w:r>
        <w:t xml:space="preserve"> </w:t>
      </w:r>
      <w:r>
        <w:t xml:space="preserve">with registry, event bus, policy engine, identity fabric, and Super Admin console.</w:t>
      </w:r>
    </w:p>
    <w:p>
      <w:r>
        <w:pict>
          <v:rect style="width:0;height:1.5pt" o:hralign="center" o:hrstd="t" o:hr="t"/>
        </w:pict>
      </w:r>
    </w:p>
    <w:bookmarkEnd w:id="24"/>
    <w:bookmarkStart w:id="29" w:name="detailed-modules"/>
    <w:p>
      <w:pPr>
        <w:pStyle w:val="Heading2"/>
      </w:pPr>
      <w:r>
        <w:t xml:space="preserve">4. Detailed Modules</w:t>
      </w:r>
    </w:p>
    <w:bookmarkStart w:id="25" w:name="enterprise-ea-ee"/>
    <w:p>
      <w:pPr>
        <w:pStyle w:val="Heading3"/>
      </w:pPr>
      <w:r>
        <w:t xml:space="preserve">4.1 Enterprise (EA / EE)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Functions:</w:t>
      </w:r>
      <w:r>
        <w:t xml:space="preserve"> </w:t>
      </w:r>
      <w:r>
        <w:t xml:space="preserve">Client intake, capability mapping, business transformation, ERP modules.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I/O:</w:t>
      </w:r>
      <w:r>
        <w:t xml:space="preserve"> </w:t>
      </w:r>
      <w:r>
        <w:t xml:space="preserve">Orders, SLAs, regulatory updates → programs, KPIs, mappings.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TOGAF, Zachman, FedRAMP.</w:t>
      </w:r>
    </w:p>
    <w:bookmarkEnd w:id="25"/>
    <w:bookmarkStart w:id="26" w:name="systems-sa-se"/>
    <w:p>
      <w:pPr>
        <w:pStyle w:val="Heading3"/>
      </w:pPr>
      <w:r>
        <w:t xml:space="preserve">4.2 Systems (SA / SE)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Functions:</w:t>
      </w:r>
      <w:r>
        <w:t xml:space="preserve"> </w:t>
      </w:r>
      <w:r>
        <w:t xml:space="preserve">MBSE, Digital Twins, ICDs, TRL/MRL readiness.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I/O:</w:t>
      </w:r>
      <w:r>
        <w:t xml:space="preserve"> </w:t>
      </w:r>
      <w:r>
        <w:t xml:space="preserve">Capability inputs → system blueprints, ICDs, test criteria.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INCOSE, NASA SE Handbook, DoD SE Guide.</w:t>
      </w:r>
    </w:p>
    <w:bookmarkEnd w:id="26"/>
    <w:bookmarkStart w:id="27" w:name="software-swa-swe"/>
    <w:p>
      <w:pPr>
        <w:pStyle w:val="Heading3"/>
      </w:pPr>
      <w:r>
        <w:t xml:space="preserve">4.3 Software (SwA / SwE)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Functions:</w:t>
      </w:r>
      <w:r>
        <w:t xml:space="preserve"> </w:t>
      </w:r>
      <w:r>
        <w:t xml:space="preserve">Hybrid runtimes, APIs, CI/CD, SBOM, artifact registry.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I/O:</w:t>
      </w:r>
      <w:r>
        <w:t xml:space="preserve"> </w:t>
      </w:r>
      <w:r>
        <w:t xml:space="preserve">ICD inputs, datasets → containers, telemetry, V&amp;V reports.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IEEE SWEBOK, CMMI, NIST.</w:t>
      </w:r>
    </w:p>
    <w:bookmarkEnd w:id="27"/>
    <w:bookmarkStart w:id="28" w:name="core-bhadale-qai-hub"/>
    <w:p>
      <w:pPr>
        <w:pStyle w:val="Heading3"/>
      </w:pPr>
      <w:r>
        <w:t xml:space="preserve">4.4 Core (Bhadale QAI Hub)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Functions:</w:t>
      </w:r>
      <w:r>
        <w:t xml:space="preserve"> </w:t>
      </w:r>
      <w:r>
        <w:t xml:space="preserve">Live registry, event bus, dependency graph, PQC gateway.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I/O:</w:t>
      </w:r>
      <w:r>
        <w:t xml:space="preserve"> </w:t>
      </w:r>
      <w:r>
        <w:t xml:space="preserve">Bi-directional sync with all layers.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Zero-Trust, PQC keys, attestation.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technology-stack"/>
    <w:p>
      <w:pPr>
        <w:pStyle w:val="Heading2"/>
      </w:pPr>
      <w:r>
        <w:t xml:space="preserve">5. Technology Stack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Hardware:</w:t>
      </w:r>
      <w:r>
        <w:t xml:space="preserve"> </w:t>
      </w:r>
      <w:r>
        <w:t xml:space="preserve">Quantum processors (superconducting/photonic), CPU/GPU/FPGA clusters.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Middleware:</w:t>
      </w:r>
      <w:r>
        <w:t xml:space="preserve"> </w:t>
      </w:r>
      <w:r>
        <w:t xml:space="preserve">Event bus (Kafka-like), service mesh, MLflow/Model registry, digital twin engines.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Software/DevOps:</w:t>
      </w:r>
      <w:r>
        <w:t xml:space="preserve"> </w:t>
      </w:r>
      <w:r>
        <w:t xml:space="preserve">Docker, Kubernetes, ArgoCD, Terraform, SBOM (CycloneDX), Sigstore.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PQC migration (NIST PQC), Zero-Trust, runtime attestation, provenance ledger.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Specialized QAI SDKs:</w:t>
      </w:r>
      <w:r>
        <w:t xml:space="preserve"> </w:t>
      </w:r>
      <w:r>
        <w:t xml:space="preserve">Qiskit/Cirq/PennyLane-style or custom.</w:t>
      </w:r>
    </w:p>
    <w:p>
      <w:r>
        <w:pict>
          <v:rect style="width:0;height:1.5pt" o:hralign="center" o:hrstd="t" o:hr="t"/>
        </w:pict>
      </w:r>
    </w:p>
    <w:bookmarkEnd w:id="30"/>
    <w:bookmarkStart w:id="31" w:name="startup-tools-assets"/>
    <w:p>
      <w:pPr>
        <w:pStyle w:val="Heading2"/>
      </w:pPr>
      <w:r>
        <w:t xml:space="preserve">6. Startup Tools &amp; Assets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BhadaleIT_ERP:</w:t>
      </w:r>
      <w:r>
        <w:t xml:space="preserve"> </w:t>
      </w:r>
      <w:r>
        <w:t xml:space="preserve">Enterprise modules (finance, contracts, HR, portfolio).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ICS_IT_OT_Cloud:</w:t>
      </w:r>
      <w:r>
        <w:t xml:space="preserve"> </w:t>
      </w:r>
      <w:r>
        <w:t xml:space="preserve">OT/ICS and systems integration.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QAI Ops:</w:t>
      </w:r>
      <w:r>
        <w:t xml:space="preserve"> </w:t>
      </w:r>
      <w:r>
        <w:t xml:space="preserve">Unified operations for lifecycle and monitoring.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QAI OS:</w:t>
      </w:r>
      <w:r>
        <w:t xml:space="preserve"> </w:t>
      </w:r>
      <w:r>
        <w:t xml:space="preserve">Hybrid runtime and scheduler.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QAI LLM DevOps:</w:t>
      </w:r>
      <w:r>
        <w:t xml:space="preserve"> </w:t>
      </w:r>
      <w:r>
        <w:t xml:space="preserve">Agentic pipelines for AI/ML/QAI workflows.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Digital Twin Platform &amp; Model Registry.</w:t>
      </w:r>
    </w:p>
    <w:p>
      <w:r>
        <w:pict>
          <v:rect style="width:0;height:1.5pt" o:hralign="center" o:hrstd="t" o:hr="t"/>
        </w:pict>
      </w:r>
    </w:p>
    <w:bookmarkEnd w:id="31"/>
    <w:bookmarkStart w:id="35" w:name="merits-of-qai-framework"/>
    <w:p>
      <w:pPr>
        <w:pStyle w:val="Heading2"/>
      </w:pPr>
      <w:r>
        <w:t xml:space="preserve">7. Merits of QAI Framework</w:t>
      </w:r>
    </w:p>
    <w:bookmarkStart w:id="32" w:name="business"/>
    <w:p>
      <w:pPr>
        <w:pStyle w:val="Heading3"/>
      </w:pPr>
      <w:r>
        <w:t xml:space="preserve">Business</w:t>
      </w:r>
    </w:p>
    <w:p>
      <w:pPr>
        <w:pStyle w:val="Compact"/>
        <w:numPr>
          <w:ilvl w:val="0"/>
          <w:numId w:val="1009"/>
        </w:numPr>
      </w:pPr>
      <w:r>
        <w:t xml:space="preserve">Rapid modernization for Industry 4.0 → Society 5.0.</w:t>
      </w:r>
    </w:p>
    <w:p>
      <w:pPr>
        <w:pStyle w:val="Compact"/>
        <w:numPr>
          <w:ilvl w:val="0"/>
          <w:numId w:val="1009"/>
        </w:numPr>
      </w:pPr>
      <w:r>
        <w:t xml:space="preserve">Differentiation in defense, pharma, finance, and robotics markets.</w:t>
      </w:r>
    </w:p>
    <w:p>
      <w:pPr>
        <w:pStyle w:val="Compact"/>
        <w:numPr>
          <w:ilvl w:val="0"/>
          <w:numId w:val="1009"/>
        </w:numPr>
      </w:pPr>
      <w:r>
        <w:t xml:space="preserve">New revenue streams: QAI-as-a-Service, compliance packs, product licensing.</w:t>
      </w:r>
    </w:p>
    <w:bookmarkEnd w:id="32"/>
    <w:bookmarkStart w:id="33" w:name="technical"/>
    <w:p>
      <w:pPr>
        <w:pStyle w:val="Heading3"/>
      </w:pPr>
      <w:r>
        <w:t xml:space="preserve">Technical</w:t>
      </w:r>
    </w:p>
    <w:p>
      <w:pPr>
        <w:pStyle w:val="Compact"/>
        <w:numPr>
          <w:ilvl w:val="0"/>
          <w:numId w:val="1010"/>
        </w:numPr>
      </w:pPr>
      <w:r>
        <w:t xml:space="preserve">Quantum speedups for complex problem classes.</w:t>
      </w:r>
    </w:p>
    <w:p>
      <w:pPr>
        <w:pStyle w:val="Compact"/>
        <w:numPr>
          <w:ilvl w:val="0"/>
          <w:numId w:val="1010"/>
        </w:numPr>
      </w:pPr>
      <w:r>
        <w:t xml:space="preserve">Hybrid fallback for resilience.</w:t>
      </w:r>
    </w:p>
    <w:p>
      <w:pPr>
        <w:pStyle w:val="Compact"/>
        <w:numPr>
          <w:ilvl w:val="0"/>
          <w:numId w:val="1010"/>
        </w:numPr>
      </w:pPr>
      <w:r>
        <w:t xml:space="preserve">Richer ML + quantum ansätze for high-dimensional problems.</w:t>
      </w:r>
    </w:p>
    <w:bookmarkEnd w:id="33"/>
    <w:bookmarkStart w:id="34" w:name="operational"/>
    <w:p>
      <w:pPr>
        <w:pStyle w:val="Heading3"/>
      </w:pPr>
      <w:r>
        <w:t xml:space="preserve">Operational</w:t>
      </w:r>
    </w:p>
    <w:p>
      <w:pPr>
        <w:pStyle w:val="Compact"/>
        <w:numPr>
          <w:ilvl w:val="0"/>
          <w:numId w:val="1011"/>
        </w:numPr>
      </w:pPr>
      <w:r>
        <w:t xml:space="preserve">Real-time, living framework reduces lag in change management.</w:t>
      </w:r>
    </w:p>
    <w:p>
      <w:pPr>
        <w:pStyle w:val="Compact"/>
        <w:numPr>
          <w:ilvl w:val="0"/>
          <w:numId w:val="1011"/>
        </w:numPr>
      </w:pPr>
      <w:r>
        <w:t xml:space="preserve">Containerized, plugin-based modules for scalability.</w:t>
      </w:r>
    </w:p>
    <w:p>
      <w:pPr>
        <w:pStyle w:val="Compact"/>
        <w:numPr>
          <w:ilvl w:val="0"/>
          <w:numId w:val="1011"/>
        </w:numPr>
      </w:pPr>
      <w:r>
        <w:t xml:space="preserve">PQC-aware design for post-quantum security.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governance-auditability"/>
    <w:p>
      <w:pPr>
        <w:pStyle w:val="Heading2"/>
      </w:pPr>
      <w:r>
        <w:t xml:space="preserve">8. Governance &amp; Auditability</w:t>
      </w:r>
    </w:p>
    <w:p>
      <w:pPr>
        <w:pStyle w:val="Compact"/>
        <w:numPr>
          <w:ilvl w:val="0"/>
          <w:numId w:val="1012"/>
        </w:numPr>
      </w:pPr>
      <w:r>
        <w:t xml:space="preserve">All artifacts include metadata (owner, version, compliance tags).</w:t>
      </w:r>
    </w:p>
    <w:p>
      <w:pPr>
        <w:pStyle w:val="Compact"/>
        <w:numPr>
          <w:ilvl w:val="0"/>
          <w:numId w:val="1012"/>
        </w:numPr>
      </w:pPr>
      <w:r>
        <w:t xml:space="preserve">Policy-as-code ensures EA policies map to enforceable runtime.</w:t>
      </w:r>
    </w:p>
    <w:p>
      <w:pPr>
        <w:pStyle w:val="Compact"/>
        <w:numPr>
          <w:ilvl w:val="0"/>
          <w:numId w:val="1012"/>
        </w:numPr>
      </w:pPr>
      <w:r>
        <w:t xml:space="preserve">Immutable provenance (blockchain optional).</w:t>
      </w:r>
    </w:p>
    <w:p>
      <w:pPr>
        <w:pStyle w:val="Compact"/>
        <w:numPr>
          <w:ilvl w:val="0"/>
          <w:numId w:val="1012"/>
        </w:numPr>
      </w:pPr>
      <w:r>
        <w:t xml:space="preserve">Continuous compliance pipelines aligned with CMMI/ISO/NIST.</w:t>
      </w:r>
    </w:p>
    <w:p>
      <w:r>
        <w:pict>
          <v:rect style="width:0;height:1.5pt" o:hralign="center" o:hrstd="t" o:hr="t"/>
        </w:pict>
      </w:r>
    </w:p>
    <w:bookmarkEnd w:id="36"/>
    <w:bookmarkStart w:id="37" w:name="implementation-roadmap-sprint-checklist"/>
    <w:p>
      <w:pPr>
        <w:pStyle w:val="Heading2"/>
      </w:pPr>
      <w:r>
        <w:t xml:space="preserve">9. Implementation Roadmap (Sprint Checklist)</w:t>
      </w:r>
    </w:p>
    <w:p>
      <w:pPr>
        <w:pStyle w:val="Compact"/>
        <w:numPr>
          <w:ilvl w:val="0"/>
          <w:numId w:val="1013"/>
        </w:numPr>
      </w:pPr>
      <w:r>
        <w:t xml:space="preserve">Deploy Model &amp; Artifact Registry with SBOM &amp; signing.</w:t>
      </w:r>
    </w:p>
    <w:p>
      <w:pPr>
        <w:pStyle w:val="Compact"/>
        <w:numPr>
          <w:ilvl w:val="0"/>
          <w:numId w:val="1014"/>
        </w:numPr>
      </w:pPr>
      <w:r>
        <w:t xml:space="preserve">Build Client Intake → Program Template pipeline.</w:t>
      </w:r>
    </w:p>
    <w:p>
      <w:pPr>
        <w:pStyle w:val="Compact"/>
        <w:numPr>
          <w:ilvl w:val="0"/>
          <w:numId w:val="1015"/>
        </w:numPr>
      </w:pPr>
      <w:r>
        <w:t xml:space="preserve">Integrate MBSE + Digital Twin.</w:t>
      </w:r>
    </w:p>
    <w:p>
      <w:pPr>
        <w:pStyle w:val="Compact"/>
        <w:numPr>
          <w:ilvl w:val="0"/>
          <w:numId w:val="1016"/>
        </w:numPr>
      </w:pPr>
      <w:r>
        <w:t xml:space="preserve">Implement CI/CD with PQC gates.</w:t>
      </w:r>
    </w:p>
    <w:p>
      <w:pPr>
        <w:pStyle w:val="Compact"/>
        <w:numPr>
          <w:ilvl w:val="0"/>
          <w:numId w:val="1017"/>
        </w:numPr>
      </w:pPr>
      <w:r>
        <w:t xml:space="preserve">Deploy Core (Event Bus, Policy Engine, Identity Fabric).</w:t>
      </w:r>
    </w:p>
    <w:p>
      <w:pPr>
        <w:pStyle w:val="Compact"/>
        <w:numPr>
          <w:ilvl w:val="0"/>
          <w:numId w:val="1018"/>
        </w:numPr>
      </w:pPr>
      <w:r>
        <w:t xml:space="preserve">Harden Zero-Trust + PQC Gateway.</w:t>
      </w:r>
    </w:p>
    <w:p>
      <w:pPr>
        <w:pStyle w:val="Compact"/>
        <w:numPr>
          <w:ilvl w:val="0"/>
          <w:numId w:val="1019"/>
        </w:numPr>
      </w:pPr>
      <w:r>
        <w:t xml:space="preserve">Prepare plugin catalog (Industry, Compliance, Client modules).</w:t>
      </w:r>
    </w:p>
    <w:p>
      <w:r>
        <w:pict>
          <v:rect style="width:0;height:1.5pt" o:hralign="center" o:hrstd="t" o:hr="t"/>
        </w:pict>
      </w:r>
    </w:p>
    <w:bookmarkEnd w:id="37"/>
    <w:bookmarkStart w:id="41" w:name="tables-of-views-maps-and-junctions"/>
    <w:p>
      <w:pPr>
        <w:pStyle w:val="Heading2"/>
      </w:pPr>
      <w:r>
        <w:t xml:space="preserve">10. Tables of Views, Maps, and Junctions</w:t>
      </w:r>
    </w:p>
    <w:bookmarkStart w:id="38" w:name="table-1-layer-to-entity-views"/>
    <w:p>
      <w:pPr>
        <w:pStyle w:val="Heading3"/>
      </w:pPr>
      <w:r>
        <w:t xml:space="preserve">Table 1: Layer-to-Entity Views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7"/>
        <w:gridCol w:w="2088"/>
        <w:gridCol w:w="2376"/>
        <w:gridCol w:w="24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Architecture View</w:t>
            </w:r>
          </w:p>
        </w:tc>
        <w:tc>
          <w:tcPr/>
          <w:p>
            <w:pPr>
              <w:pStyle w:val="Compact"/>
            </w:pPr>
            <w:r>
              <w:t xml:space="preserve">Engineering View</w:t>
            </w:r>
          </w:p>
        </w:tc>
        <w:tc>
          <w:tcPr/>
          <w:p>
            <w:pPr>
              <w:pStyle w:val="Compact"/>
            </w:pPr>
            <w:r>
              <w:t xml:space="preserve">Outputs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TOGAF, Zachman, Capability</w:t>
            </w:r>
          </w:p>
        </w:tc>
        <w:tc>
          <w:tcPr/>
          <w:p>
            <w:pPr>
              <w:pStyle w:val="Compact"/>
            </w:pPr>
            <w:r>
              <w:t xml:space="preserve">Business Transformation, ERP</w:t>
            </w:r>
          </w:p>
        </w:tc>
        <w:tc>
          <w:tcPr/>
          <w:p>
            <w:pPr>
              <w:pStyle w:val="Compact"/>
            </w:pPr>
            <w:r>
              <w:t xml:space="preserve">Programs, KPIs, Capability maps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Systems</w:t>
            </w:r>
          </w:p>
        </w:tc>
        <w:tc>
          <w:tcPr/>
          <w:p>
            <w:pPr>
              <w:pStyle w:val="Compact"/>
            </w:pPr>
            <w:r>
              <w:t xml:space="preserve">INCOSE SEBoK, MBSE models</w:t>
            </w:r>
          </w:p>
        </w:tc>
        <w:tc>
          <w:tcPr/>
          <w:p>
            <w:pPr>
              <w:pStyle w:val="Compact"/>
            </w:pPr>
            <w:r>
              <w:t xml:space="preserve">Digital Twins, ICDs, TRL/MRL</w:t>
            </w:r>
          </w:p>
        </w:tc>
        <w:tc>
          <w:tcPr/>
          <w:p>
            <w:pPr>
              <w:pStyle w:val="Compact"/>
            </w:pPr>
            <w:r>
              <w:t xml:space="preserve">Blueprints, test harnesses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</w:t>
            </w:r>
          </w:p>
        </w:tc>
        <w:tc>
          <w:tcPr/>
          <w:p>
            <w:pPr>
              <w:pStyle w:val="Compact"/>
            </w:pPr>
            <w:r>
              <w:t xml:space="preserve">IEEE SWEBOK, APIs, DSLs</w:t>
            </w:r>
          </w:p>
        </w:tc>
        <w:tc>
          <w:tcPr/>
          <w:p>
            <w:pPr>
              <w:pStyle w:val="Compact"/>
            </w:pPr>
            <w:r>
              <w:t xml:space="preserve">CI/CD, Artifact Registry, SBOM</w:t>
            </w:r>
          </w:p>
        </w:tc>
        <w:tc>
          <w:tcPr/>
          <w:p>
            <w:pPr>
              <w:pStyle w:val="Compact"/>
            </w:pPr>
            <w:r>
              <w:t xml:space="preserve">Containers, deployment packages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 (Hub)</w:t>
            </w:r>
          </w:p>
        </w:tc>
        <w:tc>
          <w:tcPr/>
          <w:p>
            <w:pPr>
              <w:pStyle w:val="Compact"/>
            </w:pPr>
            <w:r>
              <w:t xml:space="preserve">Registry + Policy Engine</w:t>
            </w:r>
          </w:p>
        </w:tc>
        <w:tc>
          <w:tcPr/>
          <w:p>
            <w:pPr>
              <w:pStyle w:val="Compact"/>
            </w:pPr>
            <w:r>
              <w:t xml:space="preserve">Event Bus, Zero-Trust Fabric</w:t>
            </w:r>
          </w:p>
        </w:tc>
        <w:tc>
          <w:tcPr/>
          <w:p>
            <w:pPr>
              <w:pStyle w:val="Compact"/>
            </w:pPr>
            <w:r>
              <w:t xml:space="preserve">Live synchronization, telemetry</w:t>
            </w:r>
          </w:p>
        </w:tc>
      </w:tr>
    </w:tbl>
    <w:bookmarkEnd w:id="38"/>
    <w:bookmarkStart w:id="39" w:name="table-2-key-junction-maps"/>
    <w:p>
      <w:pPr>
        <w:pStyle w:val="Heading3"/>
      </w:pPr>
      <w:r>
        <w:t xml:space="preserve">Table 2: Key Junction Maps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8"/>
        <w:gridCol w:w="2580"/>
        <w:gridCol w:w="25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Junction (EA→SA)</w:t>
            </w:r>
          </w:p>
        </w:tc>
        <w:tc>
          <w:tcPr/>
          <w:p>
            <w:pPr>
              <w:pStyle w:val="Compact"/>
            </w:pPr>
            <w:r>
              <w:t xml:space="preserve">Junction (SA→SwA)</w:t>
            </w:r>
          </w:p>
        </w:tc>
        <w:tc>
          <w:tcPr/>
          <w:p>
            <w:pPr>
              <w:pStyle w:val="Compact"/>
            </w:pPr>
            <w:r>
              <w:t xml:space="preserve">Junction (SwA→Core)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Capability Map ↔ System Map</w:t>
            </w:r>
          </w:p>
        </w:tc>
        <w:tc>
          <w:tcPr/>
          <w:p>
            <w:pPr>
              <w:pStyle w:val="Compact"/>
            </w:pPr>
            <w:r>
              <w:t xml:space="preserve">ICD ↔ API Contract</w:t>
            </w:r>
          </w:p>
        </w:tc>
        <w:tc>
          <w:tcPr/>
          <w:p>
            <w:pPr>
              <w:pStyle w:val="Compact"/>
            </w:pPr>
            <w:r>
              <w:t xml:space="preserve">SBOM ↔ Artifact Registry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Policy-as-Code ↔ Guardrails</w:t>
            </w:r>
          </w:p>
        </w:tc>
        <w:tc>
          <w:tcPr/>
          <w:p>
            <w:pPr>
              <w:pStyle w:val="Compact"/>
            </w:pPr>
            <w:r>
              <w:t xml:space="preserve">Digital Twin ↔ Test Harness</w:t>
            </w:r>
          </w:p>
        </w:tc>
        <w:tc>
          <w:tcPr/>
          <w:p>
            <w:pPr>
              <w:pStyle w:val="Compact"/>
            </w:pPr>
            <w:r>
              <w:t xml:space="preserve">CI/CD ↔ Runtime Monitor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Portfolio Ops ↔ TRL Planning</w:t>
            </w:r>
          </w:p>
        </w:tc>
        <w:tc>
          <w:tcPr/>
          <w:p>
            <w:pPr>
              <w:pStyle w:val="Compact"/>
            </w:pPr>
            <w:r>
              <w:t xml:space="preserve">TRL/MRL ↔ Build Pipelines</w:t>
            </w:r>
          </w:p>
        </w:tc>
        <w:tc>
          <w:tcPr/>
          <w:p>
            <w:pPr>
              <w:pStyle w:val="Compact"/>
            </w:pPr>
            <w:r>
              <w:t xml:space="preserve">Deployment Descriptor ↔ Hub</w:t>
            </w:r>
          </w:p>
        </w:tc>
      </w:tr>
    </w:tbl>
    <w:bookmarkEnd w:id="39"/>
    <w:bookmarkStart w:id="40" w:name="table-3-command-execution-toolchain"/>
    <w:p>
      <w:pPr>
        <w:pStyle w:val="Heading3"/>
      </w:pPr>
      <w:r>
        <w:t xml:space="preserve">Table 3: Command Execution / Toolchain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1760"/>
        <w:gridCol w:w="1760"/>
        <w:gridCol w:w="21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 / Trigger</w:t>
            </w:r>
          </w:p>
        </w:tc>
        <w:tc>
          <w:tcPr/>
          <w:p>
            <w:pPr>
              <w:pStyle w:val="Compact"/>
            </w:pPr>
            <w:r>
              <w:t xml:space="preserve">OpsAgent / Tool</w:t>
            </w:r>
          </w:p>
        </w:tc>
        <w:tc>
          <w:tcPr/>
          <w:p>
            <w:pPr>
              <w:pStyle w:val="Compact"/>
            </w:pPr>
            <w:r>
              <w:t xml:space="preserve">Human/Humanoid Approval</w:t>
            </w:r>
          </w:p>
        </w:tc>
        <w:tc>
          <w:tcPr/>
          <w:p>
            <w:pPr>
              <w:pStyle w:val="Compact"/>
            </w:pPr>
            <w:r>
              <w:t xml:space="preserve">Output / Action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Exec:NewClientOrder</w:t>
            </w:r>
          </w:p>
        </w:tc>
        <w:tc>
          <w:tcPr/>
          <w:p>
            <w:pPr>
              <w:pStyle w:val="Compact"/>
            </w:pPr>
            <w:r>
              <w:t xml:space="preserve">ERP Intake Agent</w:t>
            </w:r>
          </w:p>
        </w:tc>
        <w:tc>
          <w:tcPr/>
          <w:p>
            <w:pPr>
              <w:pStyle w:val="Compact"/>
            </w:pPr>
            <w:r>
              <w:t xml:space="preserve">Program Manager</w:t>
            </w:r>
          </w:p>
        </w:tc>
        <w:tc>
          <w:tcPr/>
          <w:p>
            <w:pPr>
              <w:pStyle w:val="Compact"/>
            </w:pPr>
            <w:r>
              <w:t xml:space="preserve">Program template, SLA record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Exec:DeploySystemModel</w:t>
            </w:r>
          </w:p>
        </w:tc>
        <w:tc>
          <w:tcPr/>
          <w:p>
            <w:pPr>
              <w:pStyle w:val="Compact"/>
            </w:pPr>
            <w:r>
              <w:t xml:space="preserve">MBSE OpsAgent</w:t>
            </w:r>
          </w:p>
        </w:tc>
        <w:tc>
          <w:tcPr/>
          <w:p>
            <w:pPr>
              <w:pStyle w:val="Compact"/>
            </w:pPr>
            <w:r>
              <w:t xml:space="preserve">Systems Engineer</w:t>
            </w:r>
          </w:p>
        </w:tc>
        <w:tc>
          <w:tcPr/>
          <w:p>
            <w:pPr>
              <w:pStyle w:val="Compact"/>
            </w:pPr>
            <w:r>
              <w:t xml:space="preserve">Updated system blueprint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Exec:RunDigitalTwin</w:t>
            </w:r>
          </w:p>
        </w:tc>
        <w:tc>
          <w:tcPr/>
          <w:p>
            <w:pPr>
              <w:pStyle w:val="Compact"/>
            </w:pPr>
            <w:r>
              <w:t xml:space="preserve">Simulation Agent</w:t>
            </w:r>
          </w:p>
        </w:tc>
        <w:tc>
          <w:tcPr/>
          <w:p>
            <w:pPr>
              <w:pStyle w:val="Compact"/>
            </w:pPr>
            <w:r>
              <w:t xml:space="preserve">QA/Reviewer</w:t>
            </w:r>
          </w:p>
        </w:tc>
        <w:tc>
          <w:tcPr/>
          <w:p>
            <w:pPr>
              <w:pStyle w:val="Compact"/>
            </w:pPr>
            <w:r>
              <w:t xml:space="preserve">Twin run, validation report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Exec:BuildAndVerify</w:t>
            </w:r>
          </w:p>
        </w:tc>
        <w:tc>
          <w:tcPr/>
          <w:p>
            <w:pPr>
              <w:pStyle w:val="Compact"/>
            </w:pPr>
            <w:r>
              <w:t xml:space="preserve">CI/CD Automation Agent</w:t>
            </w:r>
          </w:p>
        </w:tc>
        <w:tc>
          <w:tcPr/>
          <w:p>
            <w:pPr>
              <w:pStyle w:val="Compact"/>
            </w:pPr>
            <w:r>
              <w:t xml:space="preserve">DevOps Engineer</w:t>
            </w:r>
          </w:p>
        </w:tc>
        <w:tc>
          <w:tcPr/>
          <w:p>
            <w:pPr>
              <w:pStyle w:val="Compact"/>
            </w:pPr>
            <w:r>
              <w:t xml:space="preserve">Signed container, SBOM report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Exec:DeployArtifact</w:t>
            </w:r>
          </w:p>
        </w:tc>
        <w:tc>
          <w:tcPr/>
          <w:p>
            <w:pPr>
              <w:pStyle w:val="Compact"/>
            </w:pPr>
            <w:r>
              <w:t xml:space="preserve">QAI Ops Orchestrator</w:t>
            </w:r>
          </w:p>
        </w:tc>
        <w:tc>
          <w:tcPr/>
          <w:p>
            <w:pPr>
              <w:pStyle w:val="Compact"/>
            </w:pPr>
            <w:r>
              <w:t xml:space="preserve">Security Officer (ZTA)</w:t>
            </w:r>
          </w:p>
        </w:tc>
        <w:tc>
          <w:tcPr/>
          <w:p>
            <w:pPr>
              <w:pStyle w:val="Compact"/>
            </w:pPr>
            <w:r>
              <w:t xml:space="preserve">Deployment to runtime cluster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Exec:AuditCompliance</w:t>
            </w:r>
          </w:p>
        </w:tc>
        <w:tc>
          <w:tcPr/>
          <w:p>
            <w:pPr>
              <w:pStyle w:val="Compact"/>
            </w:pPr>
            <w:r>
              <w:t xml:space="preserve">Compliance OpsAgent</w:t>
            </w:r>
          </w:p>
        </w:tc>
        <w:tc>
          <w:tcPr/>
          <w:p>
            <w:pPr>
              <w:pStyle w:val="Compact"/>
            </w:pPr>
            <w:r>
              <w:t xml:space="preserve">CISO / Auditor</w:t>
            </w:r>
          </w:p>
        </w:tc>
        <w:tc>
          <w:tcPr/>
          <w:p>
            <w:pPr>
              <w:pStyle w:val="Compact"/>
            </w:pPr>
            <w:r>
              <w:t xml:space="preserve">Compliance dashboard report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on"/>
    <w:p>
      <w:pPr>
        <w:pStyle w:val="Heading2"/>
      </w:pPr>
      <w:r>
        <w:t xml:space="preserve">11. Conclusion</w:t>
      </w:r>
    </w:p>
    <w:p>
      <w:pPr>
        <w:pStyle w:val="FirstParagraph"/>
      </w:pPr>
      <w:r>
        <w:t xml:space="preserve">The QAI Enterprise Framework delivers a</w:t>
      </w:r>
      <w:r>
        <w:t xml:space="preserve"> </w:t>
      </w:r>
      <w:r>
        <w:rPr>
          <w:b/>
          <w:bCs/>
        </w:rPr>
        <w:t xml:space="preserve">modular, living, and secure</w:t>
      </w:r>
      <w:r>
        <w:t xml:space="preserve"> </w:t>
      </w:r>
      <w:r>
        <w:t xml:space="preserve">architecture that unifies enterprise strategy, systems engineering, and software operations into a single agile ecosystem. With the</w:t>
      </w:r>
      <w:r>
        <w:t xml:space="preserve"> </w:t>
      </w:r>
      <w:r>
        <w:rPr>
          <w:b/>
          <w:bCs/>
        </w:rPr>
        <w:t xml:space="preserve">Bhadale QAI Hub</w:t>
      </w:r>
      <w:r>
        <w:t xml:space="preserve"> </w:t>
      </w:r>
      <w:r>
        <w:t xml:space="preserve">at its core, organizations can ensure real-time adaptability, post-quantum security, and scalable modernization for the next generation of digital transformation.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2025-09-09T11:54:25Z</dcterms:created>
  <dcterms:modified xsi:type="dcterms:W3CDTF">2025-09-09T11:54:25Z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