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QAI_ProductDeploy_Toolkit - Proposal Document</w:t>
      </w:r>
    </w:p>
    <w:p>
      <w:pPr>
        <w:pStyle w:val="Heading1"/>
      </w:pPr>
      <w:r>
        <w:t>1. Introduction</w:t>
      </w:r>
    </w:p>
    <w:p>
      <w:r>
        <w:t>The QAI_ProductDeploy_Toolkit is designed to enable seamless deployment, monitoring, and management of QAI home-grown products and COTS solutions in client environments. It integrates automation, security, governance, and business mapping to ensure peak performance, compliance, and client trust.</w:t>
      </w:r>
    </w:p>
    <w:p>
      <w:pPr>
        <w:pStyle w:val="Heading1"/>
      </w:pPr>
      <w:r>
        <w:t>2. Components and Technical Stack</w:t>
      </w:r>
    </w:p>
    <w:p>
      <w:r>
        <w:t>The toolkit includes the following components:</w:t>
      </w:r>
    </w:p>
    <w:p>
      <w:pPr>
        <w:pStyle w:val="ListBullet"/>
      </w:pPr>
      <w:r>
        <w:t>- qai-core (homegrown, version 1.4.2)</w:t>
      </w:r>
    </w:p>
    <w:p>
      <w:pPr>
        <w:pStyle w:val="ListBullet"/>
      </w:pPr>
      <w:r>
        <w:t>- qai-runtime (homegrown, version 0.9.0)</w:t>
      </w:r>
    </w:p>
    <w:p>
      <w:pPr>
        <w:pStyle w:val="ListBullet"/>
      </w:pPr>
      <w:r>
        <w:t>- qai-agent (homegrown, version 2.0.1)</w:t>
      </w:r>
    </w:p>
    <w:p>
      <w:pPr>
        <w:pStyle w:val="ListBullet"/>
      </w:pPr>
      <w:r>
        <w:t>- cots-db (cots, version 12.3) vendor=AcmeDB</w:t>
      </w:r>
    </w:p>
    <w:p>
      <w:pPr>
        <w:pStyle w:val="ListBullet"/>
      </w:pPr>
      <w:r>
        <w:t>- cots-monitor (cots, version 3.5) vendor=WatchAll</w:t>
      </w:r>
    </w:p>
    <w:p>
      <w:pPr>
        <w:pStyle w:val="Heading1"/>
      </w:pPr>
      <w:r>
        <w:t>3. Release Manifest (Sample)</w:t>
      </w:r>
    </w:p>
    <w:p>
      <w:r>
        <w:t>{</w:t>
        <w:br/>
        <w:t xml:space="preserve">  "release_id": "qai-prod-20251003134438",</w:t>
        <w:br/>
        <w:t xml:space="preserve">  "version": "1.4.2",</w:t>
        <w:br/>
        <w:t xml:space="preserve">  "created_at": "2025-10-03T13:44:38.634752",</w:t>
        <w:br/>
        <w:t xml:space="preserve">  "strategy": "canary",</w:t>
        <w:br/>
        <w:t xml:space="preserve">  "canary": {</w:t>
        <w:br/>
        <w:t xml:space="preserve">    "weight": 10,</w:t>
        <w:br/>
        <w:t xml:space="preserve">    "duration_minutes": 60</w:t>
        <w:br/>
        <w:t xml:space="preserve">  },</w:t>
        <w:br/>
        <w:t xml:space="preserve">  "artifacts": [</w:t>
        <w:br/>
        <w:t xml:space="preserve">    "qai-core",</w:t>
        <w:br/>
        <w:t xml:space="preserve">    "qai-runtime",</w:t>
        <w:br/>
        <w:t xml:space="preserve">    "qai-agent",</w:t>
        <w:br/>
        <w:t xml:space="preserve">    "cots-db",</w:t>
        <w:br/>
        <w:t xml:space="preserve">    "cots-monitor"</w:t>
        <w:br/>
        <w:t xml:space="preserve">  ],</w:t>
        <w:br/>
        <w:t xml:space="preserve">  "sbom": [</w:t>
        <w:br/>
        <w:t xml:space="preserve">    {</w:t>
        <w:br/>
        <w:t xml:space="preserve">      "name": "qai-core",</w:t>
        <w:br/>
        <w:t xml:space="preserve">      "version": "1.4.2"</w:t>
        <w:br/>
        <w:t xml:space="preserve">    },</w:t>
        <w:br/>
        <w:t xml:space="preserve">    {</w:t>
        <w:br/>
        <w:t xml:space="preserve">      "name": "qai-runtime",</w:t>
        <w:br/>
        <w:t xml:space="preserve">      "version": "0.9.0"</w:t>
        <w:br/>
        <w:t xml:space="preserve">    },</w:t>
        <w:br/>
        <w:t xml:space="preserve">    {</w:t>
        <w:br/>
        <w:t xml:space="preserve">      "name": "qai-agent",</w:t>
        <w:br/>
        <w:t xml:space="preserve">      "version": "2.0.1"</w:t>
        <w:br/>
        <w:t xml:space="preserve">    },</w:t>
        <w:br/>
        <w:t xml:space="preserve">    {</w:t>
        <w:br/>
        <w:t xml:space="preserve">      "name": "cots-db",</w:t>
        <w:br/>
        <w:t xml:space="preserve">      "version": "12.3"</w:t>
        <w:br/>
        <w:t xml:space="preserve">    },</w:t>
        <w:br/>
        <w:t xml:space="preserve">    {</w:t>
        <w:br/>
        <w:t xml:space="preserve">      "name": "cots-monitor",</w:t>
        <w:br/>
        <w:t xml:space="preserve">      "version": "3.5"</w:t>
        <w:br/>
        <w:t xml:space="preserve">    }</w:t>
        <w:br/>
        <w:t xml:space="preserve">  ]</w:t>
        <w:br/>
        <w:t>}</w:t>
      </w:r>
    </w:p>
    <w:p>
      <w:pPr>
        <w:pStyle w:val="Heading1"/>
      </w:pPr>
      <w:r>
        <w:t>4. Key Performance Indicators</w:t>
      </w:r>
    </w:p>
    <w:p>
      <w:pPr>
        <w:pStyle w:val="ListBullet"/>
      </w:pPr>
      <w:r>
        <w:t>release_id: qai-prod-20251003134438</w:t>
      </w:r>
    </w:p>
    <w:p>
      <w:pPr>
        <w:pStyle w:val="ListBullet"/>
      </w:pPr>
      <w:r>
        <w:t>deployment_duration_minutes: 130.0</w:t>
      </w:r>
    </w:p>
    <w:p>
      <w:pPr>
        <w:pStyle w:val="ListBullet"/>
      </w:pPr>
      <w:r>
        <w:t>canary_steps: 10</w:t>
      </w:r>
    </w:p>
    <w:p>
      <w:pPr>
        <w:pStyle w:val="ListBullet"/>
      </w:pPr>
      <w:r>
        <w:t>canary_failure_count: 0</w:t>
      </w:r>
    </w:p>
    <w:p>
      <w:pPr>
        <w:pStyle w:val="ListBullet"/>
      </w:pPr>
      <w:r>
        <w:t>promotion_success: True</w:t>
      </w:r>
    </w:p>
    <w:p>
      <w:pPr>
        <w:pStyle w:val="ListBullet"/>
      </w:pPr>
      <w:r>
        <w:t>avg_cpu_percent: 34.89</w:t>
      </w:r>
    </w:p>
    <w:p>
      <w:pPr>
        <w:pStyle w:val="ListBullet"/>
      </w:pPr>
      <w:r>
        <w:t>avg_mem_percent: 46.93</w:t>
      </w:r>
    </w:p>
    <w:p>
      <w:pPr>
        <w:pStyle w:val="ListBullet"/>
      </w:pPr>
      <w:r>
        <w:t>avg_qpu_error_rate: 0.0195</w:t>
      </w:r>
    </w:p>
    <w:p>
      <w:pPr>
        <w:pStyle w:val="ListBullet"/>
      </w:pPr>
      <w:r>
        <w:t>sla_compliance_pct: 99.13</w:t>
      </w:r>
    </w:p>
    <w:p>
      <w:pPr>
        <w:pStyle w:val="ListBullet"/>
      </w:pPr>
      <w:r>
        <w:t>mttr_minutes: 7.82</w:t>
      </w:r>
    </w:p>
    <w:p>
      <w:pPr>
        <w:pStyle w:val="Heading1"/>
      </w:pPr>
      <w:r>
        <w:t>5. Incidents and SIEM Alerts</w:t>
      </w:r>
    </w:p>
    <w:p>
      <w:r>
        <w:t>No incidents logged.</w:t>
      </w:r>
    </w:p>
    <w:p>
      <w:r>
        <w:t>No alerts generated.</w:t>
      </w:r>
    </w:p>
    <w:p>
      <w:pPr>
        <w:pStyle w:val="Heading1"/>
      </w:pPr>
      <w:r>
        <w:t>6. Operational Metrics (Charts)</w:t>
      </w:r>
    </w:p>
    <w:p>
      <w:r>
        <w:t>The following figures illustrate CPU, memory usage, QPU error distribution, and SIEM severity.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_us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_us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pu_error_h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Summary</w:t>
      </w:r>
    </w:p>
    <w:p>
      <w:r>
        <w:t>The QAI_ProductDeploy_Toolkit ensures smooth, secure, and client-aligned deployments. It provides automation, observability, compliance, and client adoption support. The toolkit integrates seamlessly with QAI Ops, Business Transformation Framework, and external ERP/IT systems to deliver a golden release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