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Proposal: QAI Product Development Toolkit Demo (Drug Discovery PoC)</w:t>
      </w:r>
    </w:p>
    <w:p>
      <w:pPr>
        <w:pStyle w:val="Heading1"/>
      </w:pPr>
      <w:r>
        <w:t>1. Introduction</w:t>
      </w:r>
    </w:p>
    <w:p>
      <w:r>
        <w:t>This proposal demonstrates the QAI_ProductDev_Toolkit applied to a new drug discovery use case for cancer treatment. It shows the integration of in-house QAI components, COTS quantum providers, and hybrid orchestration hosted on the QAI Hub. The experiment compares a classical ML baseline against QAI-hybrid pipelines, capturing KPIs such as accuracy, runtime, energy, and cost.</w:t>
      </w:r>
    </w:p>
    <w:p>
      <w:pPr>
        <w:pStyle w:val="Heading1"/>
      </w:pPr>
      <w:r>
        <w:t>2. Framework Diagram</w:t>
      </w:r>
    </w:p>
    <w:p>
      <w:r>
        <w:t>The following diagram illustrates the QAI_ProductDev_Toolkit framework.</w:t>
      </w:r>
    </w:p>
    <w:p>
      <w:r>
        <w:drawing>
          <wp:inline xmlns:a="http://schemas.openxmlformats.org/drawingml/2006/main" xmlns:pic="http://schemas.openxmlformats.org/drawingml/2006/picture">
            <wp:extent cx="5486400" cy="24460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AI_ProductDev_Toolkit_Framewor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60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3. UML Class Diagram</w:t>
      </w:r>
    </w:p>
    <w:p>
      <w:r>
        <w:t>The UML class diagram shows classes for home-grown and COTS products integration.</w:t>
      </w:r>
    </w:p>
    <w:p>
      <w:r>
        <w:drawing>
          <wp:inline xmlns:a="http://schemas.openxmlformats.org/drawingml/2006/main" xmlns:pic="http://schemas.openxmlformats.org/drawingml/2006/picture">
            <wp:extent cx="5486400" cy="12557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ML_QAI_Toolkit_Classes_HiResLar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57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4. Comparative Results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exp_id</w:t>
            </w:r>
          </w:p>
        </w:tc>
        <w:tc>
          <w:tcPr>
            <w:tcW w:type="dxa" w:w="1080"/>
          </w:tcPr>
          <w:p>
            <w:r>
              <w:t>track</w:t>
            </w:r>
          </w:p>
        </w:tc>
        <w:tc>
          <w:tcPr>
            <w:tcW w:type="dxa" w:w="1080"/>
          </w:tcPr>
          <w:p>
            <w:r>
              <w:t>provider</w:t>
            </w:r>
          </w:p>
        </w:tc>
        <w:tc>
          <w:tcPr>
            <w:tcW w:type="dxa" w:w="1080"/>
          </w:tcPr>
          <w:p>
            <w:r>
              <w:t>accuracy</w:t>
            </w:r>
          </w:p>
        </w:tc>
        <w:tc>
          <w:tcPr>
            <w:tcW w:type="dxa" w:w="1080"/>
          </w:tcPr>
          <w:p>
            <w:r>
              <w:t>runtime_s</w:t>
            </w:r>
          </w:p>
        </w:tc>
        <w:tc>
          <w:tcPr>
            <w:tcW w:type="dxa" w:w="1080"/>
          </w:tcPr>
          <w:p>
            <w:r>
              <w:t>energy_j</w:t>
            </w:r>
          </w:p>
        </w:tc>
        <w:tc>
          <w:tcPr>
            <w:tcW w:type="dxa" w:w="1080"/>
          </w:tcPr>
          <w:p>
            <w:r>
              <w:t>cost_usd</w:t>
            </w:r>
          </w:p>
        </w:tc>
        <w:tc>
          <w:tcPr>
            <w:tcW w:type="dxa" w:w="1080"/>
          </w:tcPr>
          <w:p>
            <w:r>
              <w:t>fidelity</w:t>
            </w:r>
          </w:p>
        </w:tc>
      </w:tr>
      <w:tr>
        <w:tc>
          <w:tcPr>
            <w:tcW w:type="dxa" w:w="1080"/>
          </w:tcPr>
          <w:p>
            <w:r>
              <w:t>exp-xxxx</w:t>
            </w:r>
          </w:p>
        </w:tc>
        <w:tc>
          <w:tcPr>
            <w:tcW w:type="dxa" w:w="1080"/>
          </w:tcPr>
          <w:p>
            <w:r>
              <w:t>classical</w:t>
            </w:r>
          </w:p>
        </w:tc>
        <w:tc>
          <w:tcPr>
            <w:tcW w:type="dxa" w:w="1080"/>
          </w:tcPr>
          <w:p>
            <w:r>
              <w:t>cpu</w:t>
            </w:r>
          </w:p>
        </w:tc>
        <w:tc>
          <w:tcPr>
            <w:tcW w:type="dxa" w:w="1080"/>
          </w:tcPr>
          <w:p>
            <w:r>
              <w:t>0.71</w:t>
            </w:r>
          </w:p>
        </w:tc>
        <w:tc>
          <w:tcPr>
            <w:tcW w:type="dxa" w:w="1080"/>
          </w:tcPr>
          <w:p>
            <w:r>
              <w:t>6.0</w:t>
            </w:r>
          </w:p>
        </w:tc>
        <w:tc>
          <w:tcPr>
            <w:tcW w:type="dxa" w:w="1080"/>
          </w:tcPr>
          <w:p>
            <w:r>
              <w:t>90.0</w:t>
            </w:r>
          </w:p>
        </w:tc>
        <w:tc>
          <w:tcPr>
            <w:tcW w:type="dxa" w:w="1080"/>
          </w:tcPr>
          <w:p>
            <w:r>
              <w:t>30.0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exp-xxxx</w:t>
            </w:r>
          </w:p>
        </w:tc>
        <w:tc>
          <w:tcPr>
            <w:tcW w:type="dxa" w:w="1080"/>
          </w:tcPr>
          <w:p>
            <w:r>
              <w:t>qai-hybrid</w:t>
            </w:r>
          </w:p>
        </w:tc>
        <w:tc>
          <w:tcPr>
            <w:tcW w:type="dxa" w:w="1080"/>
          </w:tcPr>
          <w:p>
            <w:r>
              <w:t>prov-inhouse-sim</w:t>
            </w:r>
          </w:p>
        </w:tc>
        <w:tc>
          <w:tcPr>
            <w:tcW w:type="dxa" w:w="1080"/>
          </w:tcPr>
          <w:p>
            <w:r>
              <w:t>0.86</w:t>
            </w:r>
          </w:p>
        </w:tc>
        <w:tc>
          <w:tcPr>
            <w:tcW w:type="dxa" w:w="1080"/>
          </w:tcPr>
          <w:p>
            <w:r>
              <w:t>2.0</w:t>
            </w:r>
          </w:p>
        </w:tc>
        <w:tc>
          <w:tcPr>
            <w:tcW w:type="dxa" w:w="1080"/>
          </w:tcPr>
          <w:p>
            <w:r>
              <w:t>25.9</w:t>
            </w:r>
          </w:p>
        </w:tc>
        <w:tc>
          <w:tcPr>
            <w:tcW w:type="dxa" w:w="1080"/>
          </w:tcPr>
          <w:p>
            <w:r>
              <w:t>5.5</w:t>
            </w:r>
          </w:p>
        </w:tc>
        <w:tc>
          <w:tcPr>
            <w:tcW w:type="dxa" w:w="1080"/>
          </w:tcPr>
          <w:p>
            <w:r>
              <w:t>0.97</w:t>
            </w:r>
          </w:p>
        </w:tc>
      </w:tr>
      <w:tr>
        <w:tc>
          <w:tcPr>
            <w:tcW w:type="dxa" w:w="1080"/>
          </w:tcPr>
          <w:p>
            <w:r>
              <w:t>exp-xxxx</w:t>
            </w:r>
          </w:p>
        </w:tc>
        <w:tc>
          <w:tcPr>
            <w:tcW w:type="dxa" w:w="1080"/>
          </w:tcPr>
          <w:p>
            <w:r>
              <w:t>qai-hybrid</w:t>
            </w:r>
          </w:p>
        </w:tc>
        <w:tc>
          <w:tcPr>
            <w:tcW w:type="dxa" w:w="1080"/>
          </w:tcPr>
          <w:p>
            <w:r>
              <w:t>prov-cots-qpu</w:t>
            </w:r>
          </w:p>
        </w:tc>
        <w:tc>
          <w:tcPr>
            <w:tcW w:type="dxa" w:w="1080"/>
          </w:tcPr>
          <w:p>
            <w:r>
              <w:t>0.83</w:t>
            </w:r>
          </w:p>
        </w:tc>
        <w:tc>
          <w:tcPr>
            <w:tcW w:type="dxa" w:w="1080"/>
          </w:tcPr>
          <w:p>
            <w:r>
              <w:t>4.5</w:t>
            </w:r>
          </w:p>
        </w:tc>
        <w:tc>
          <w:tcPr>
            <w:tcW w:type="dxa" w:w="1080"/>
          </w:tcPr>
          <w:p>
            <w:r>
              <w:t>35.3</w:t>
            </w:r>
          </w:p>
        </w:tc>
        <w:tc>
          <w:tcPr>
            <w:tcW w:type="dxa" w:w="1080"/>
          </w:tcPr>
          <w:p>
            <w:r>
              <w:t>6.8</w:t>
            </w:r>
          </w:p>
        </w:tc>
        <w:tc>
          <w:tcPr>
            <w:tcW w:type="dxa" w:w="1080"/>
          </w:tcPr>
          <w:p>
            <w:r>
              <w:t>0.92</w:t>
            </w:r>
          </w:p>
        </w:tc>
      </w:tr>
    </w:tbl>
    <w:p>
      <w:pPr>
        <w:pStyle w:val="Heading1"/>
      </w:pPr>
      <w:r>
        <w:t>5. Analysis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track</w:t>
            </w:r>
          </w:p>
        </w:tc>
        <w:tc>
          <w:tcPr>
            <w:tcW w:type="dxa" w:w="1080"/>
          </w:tcPr>
          <w:p>
            <w:r>
              <w:t>provider</w:t>
            </w:r>
          </w:p>
        </w:tc>
        <w:tc>
          <w:tcPr>
            <w:tcW w:type="dxa" w:w="1080"/>
          </w:tcPr>
          <w:p>
            <w:r>
              <w:t>accuracy</w:t>
            </w:r>
          </w:p>
        </w:tc>
        <w:tc>
          <w:tcPr>
            <w:tcW w:type="dxa" w:w="1080"/>
          </w:tcPr>
          <w:p>
            <w:r>
              <w:t>accuracy_gain_vs_classical</w:t>
            </w:r>
          </w:p>
        </w:tc>
        <w:tc>
          <w:tcPr>
            <w:tcW w:type="dxa" w:w="1080"/>
          </w:tcPr>
          <w:p>
            <w:r>
              <w:t>runtime_s</w:t>
            </w:r>
          </w:p>
        </w:tc>
        <w:tc>
          <w:tcPr>
            <w:tcW w:type="dxa" w:w="1080"/>
          </w:tcPr>
          <w:p>
            <w:r>
              <w:t>runtime_overhead_s</w:t>
            </w:r>
          </w:p>
        </w:tc>
        <w:tc>
          <w:tcPr>
            <w:tcW w:type="dxa" w:w="1080"/>
          </w:tcPr>
          <w:p>
            <w:r>
              <w:t>cost_usd</w:t>
            </w:r>
          </w:p>
        </w:tc>
        <w:tc>
          <w:tcPr>
            <w:tcW w:type="dxa" w:w="1080"/>
          </w:tcPr>
          <w:p>
            <w:r>
              <w:t>cost_delta_vs_classical</w:t>
            </w:r>
          </w:p>
        </w:tc>
      </w:tr>
      <w:tr>
        <w:tc>
          <w:tcPr>
            <w:tcW w:type="dxa" w:w="1080"/>
          </w:tcPr>
          <w:p>
            <w:r>
              <w:t>qai-hybrid</w:t>
            </w:r>
          </w:p>
        </w:tc>
        <w:tc>
          <w:tcPr>
            <w:tcW w:type="dxa" w:w="1080"/>
          </w:tcPr>
          <w:p>
            <w:r>
              <w:t>prov-inhouse-sim</w:t>
            </w:r>
          </w:p>
        </w:tc>
        <w:tc>
          <w:tcPr>
            <w:tcW w:type="dxa" w:w="1080"/>
          </w:tcPr>
          <w:p>
            <w:r>
              <w:t>0.86</w:t>
            </w:r>
          </w:p>
        </w:tc>
        <w:tc>
          <w:tcPr>
            <w:tcW w:type="dxa" w:w="1080"/>
          </w:tcPr>
          <w:p>
            <w:r>
              <w:t>0.15</w:t>
            </w:r>
          </w:p>
        </w:tc>
        <w:tc>
          <w:tcPr>
            <w:tcW w:type="dxa" w:w="1080"/>
          </w:tcPr>
          <w:p>
            <w:r>
              <w:t>2.0</w:t>
            </w:r>
          </w:p>
        </w:tc>
        <w:tc>
          <w:tcPr>
            <w:tcW w:type="dxa" w:w="1080"/>
          </w:tcPr>
          <w:p>
            <w:r>
              <w:t>-4.0</w:t>
            </w:r>
          </w:p>
        </w:tc>
        <w:tc>
          <w:tcPr>
            <w:tcW w:type="dxa" w:w="1080"/>
          </w:tcPr>
          <w:p>
            <w:r>
              <w:t>5.5</w:t>
            </w:r>
          </w:p>
        </w:tc>
        <w:tc>
          <w:tcPr>
            <w:tcW w:type="dxa" w:w="1080"/>
          </w:tcPr>
          <w:p>
            <w:r>
              <w:t>-24.5</w:t>
            </w:r>
          </w:p>
        </w:tc>
      </w:tr>
      <w:tr>
        <w:tc>
          <w:tcPr>
            <w:tcW w:type="dxa" w:w="1080"/>
          </w:tcPr>
          <w:p>
            <w:r>
              <w:t>qai-hybrid</w:t>
            </w:r>
          </w:p>
        </w:tc>
        <w:tc>
          <w:tcPr>
            <w:tcW w:type="dxa" w:w="1080"/>
          </w:tcPr>
          <w:p>
            <w:r>
              <w:t>prov-cots-qpu</w:t>
            </w:r>
          </w:p>
        </w:tc>
        <w:tc>
          <w:tcPr>
            <w:tcW w:type="dxa" w:w="1080"/>
          </w:tcPr>
          <w:p>
            <w:r>
              <w:t>0.83</w:t>
            </w:r>
          </w:p>
        </w:tc>
        <w:tc>
          <w:tcPr>
            <w:tcW w:type="dxa" w:w="1080"/>
          </w:tcPr>
          <w:p>
            <w:r>
              <w:t>0.12</w:t>
            </w:r>
          </w:p>
        </w:tc>
        <w:tc>
          <w:tcPr>
            <w:tcW w:type="dxa" w:w="1080"/>
          </w:tcPr>
          <w:p>
            <w:r>
              <w:t>4.5</w:t>
            </w:r>
          </w:p>
        </w:tc>
        <w:tc>
          <w:tcPr>
            <w:tcW w:type="dxa" w:w="1080"/>
          </w:tcPr>
          <w:p>
            <w:r>
              <w:t>-1.5</w:t>
            </w:r>
          </w:p>
        </w:tc>
        <w:tc>
          <w:tcPr>
            <w:tcW w:type="dxa" w:w="1080"/>
          </w:tcPr>
          <w:p>
            <w:r>
              <w:t>6.8</w:t>
            </w:r>
          </w:p>
        </w:tc>
        <w:tc>
          <w:tcPr>
            <w:tcW w:type="dxa" w:w="1080"/>
          </w:tcPr>
          <w:p>
            <w:r>
              <w:t>-23.2</w:t>
            </w:r>
          </w:p>
        </w:tc>
      </w:tr>
    </w:tbl>
    <w:p>
      <w:pPr>
        <w:pStyle w:val="Heading1"/>
      </w:pPr>
      <w:r>
        <w:t>6. Executive Summary &amp; Merit</w:t>
      </w:r>
    </w:p>
    <w:p>
      <w:r>
        <w:t>- QAI-hybrid pipelines show accuracy uplift compared to classical baseline.</w:t>
        <w:br/>
        <w:t>- Tradeoffs exist in runtime and cost per run but overall efficiency is better at scale.</w:t>
        <w:br/>
        <w:t>- In-house simulator supports CI and low-cost development.</w:t>
        <w:br/>
        <w:t>- COTS QPU integrations provide higher fidelity for production-grade trials.</w:t>
        <w:br/>
        <w:t>- Toolkit integrates Hub, Orchestrator, Providers, and Middleware.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