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QAI Pilot Demonstration &amp; Regional Opportunity Strategy</w:t>
      </w:r>
    </w:p>
    <w:p>
      <w:pPr>
        <w:jc w:val="center"/>
      </w:pPr>
      <w:r>
        <w:rPr>
          <w:b/>
        </w:rPr>
        <w:t>Reference document — Australia &amp; Canada</w:t>
      </w:r>
    </w:p>
    <w:p>
      <w:r>
        <w:t>Purpose: capture the current strategy for using Bhadale IT's QAI pilot capability to pursue procurement, research, demonstration, partnership and potential mobility opportunities in Australia and Canada.</w:t>
      </w:r>
    </w:p>
    <w:p>
      <w:pPr>
        <w:pStyle w:val="Heading1"/>
      </w:pPr>
      <w:r>
        <w:t>1. Current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Current position</w:t>
            </w:r>
          </w:p>
        </w:tc>
      </w:tr>
      <w:tr>
        <w:tc>
          <w:tcPr>
            <w:tcW w:type="dxa" w:w="4968"/>
          </w:tcPr>
          <w:p>
            <w:r>
              <w:t>Australia</w:t>
            </w:r>
          </w:p>
        </w:tc>
        <w:tc>
          <w:tcPr>
            <w:tcW w:type="dxa" w:w="4968"/>
          </w:tcPr>
          <w:p>
            <w:r>
              <w:t>AusTender registered; NSW Supplier Hub registered and profile published.</w:t>
            </w:r>
          </w:p>
        </w:tc>
      </w:tr>
      <w:tr>
        <w:tc>
          <w:tcPr>
            <w:tcW w:type="dxa" w:w="4968"/>
          </w:tcPr>
          <w:p>
            <w:r>
              <w:t>Canada</w:t>
            </w:r>
          </w:p>
        </w:tc>
        <w:tc>
          <w:tcPr>
            <w:tcW w:type="dxa" w:w="4968"/>
          </w:tcPr>
          <w:p>
            <w:r>
              <w:t>SAP Business Network registered; CanadaBuys questions submitted and answers received.</w:t>
            </w:r>
          </w:p>
        </w:tc>
      </w:tr>
      <w:tr>
        <w:tc>
          <w:tcPr>
            <w:tcW w:type="dxa" w:w="4968"/>
          </w:tcPr>
          <w:p>
            <w:r>
              <w:t>QAI technical asset</w:t>
            </w:r>
          </w:p>
        </w:tc>
        <w:tc>
          <w:tcPr>
            <w:tcW w:type="dxa" w:w="4968"/>
          </w:tcPr>
          <w:p>
            <w:r>
              <w:t>A working QAI pilot notebook of approximately 12,000 lines of code is available for demonstration.</w:t>
            </w:r>
          </w:p>
        </w:tc>
      </w:tr>
      <w:tr>
        <w:tc>
          <w:tcPr>
            <w:tcW w:type="dxa" w:w="4968"/>
          </w:tcPr>
          <w:p>
            <w:r>
              <w:t>Initial delivery model</w:t>
            </w:r>
          </w:p>
        </w:tc>
        <w:tc>
          <w:tcPr>
            <w:tcW w:type="dxa" w:w="4968"/>
          </w:tcPr>
          <w:p>
            <w:r>
              <w:t>Remote demonstrations, technical support and PoCs can be offered before establishing a local company.</w:t>
            </w:r>
          </w:p>
        </w:tc>
      </w:tr>
      <w:tr>
        <w:tc>
          <w:tcPr>
            <w:tcW w:type="dxa" w:w="4968"/>
          </w:tcPr>
          <w:p>
            <w:r>
              <w:t>Longer-term model</w:t>
            </w:r>
          </w:p>
        </w:tc>
        <w:tc>
          <w:tcPr>
            <w:tcW w:type="dxa" w:w="4968"/>
          </w:tcPr>
          <w:p>
            <w:r>
              <w:t>Establish an Australian or Canadian local structure only when a concrete commercial, partnership or contractual opportunity justifies it.</w:t>
            </w:r>
          </w:p>
        </w:tc>
      </w:tr>
    </w:tbl>
    <w:p>
      <w:pPr>
        <w:pStyle w:val="Heading1"/>
      </w:pPr>
      <w:r>
        <w:t>2. Priority Geographic Markets</w:t>
      </w:r>
    </w:p>
    <w:p>
      <w:r>
        <w:t>The current geographic focus is deliberately selective rather than attempting to register and pursue every jurisdiction simultaneously.</w:t>
      </w:r>
    </w:p>
    <w:p>
      <w:pPr>
        <w:pStyle w:val="ListBullet"/>
      </w:pPr>
      <w:r>
        <w:t>Australia — South Australia: QAI/AgTech demonstrations, critical technologies, defence/space and innovation ecosystem opportunities; investigate relevant regional and National Innovation Visa pathways separately.</w:t>
      </w:r>
    </w:p>
    <w:p>
      <w:pPr>
        <w:pStyle w:val="ListBullet"/>
      </w:pPr>
      <w:r>
        <w:t>Australia — Northern Territory: agriculture, remote/regional systems, resilience and applied technology demonstrations.</w:t>
      </w:r>
    </w:p>
    <w:p>
      <w:pPr>
        <w:pStyle w:val="ListBullet"/>
      </w:pPr>
      <w:r>
        <w:t>Canada — Nova Scotia: agriculture, rural innovation, research and regional technology opportunities.</w:t>
      </w:r>
    </w:p>
    <w:p>
      <w:pPr>
        <w:pStyle w:val="ListBullet"/>
      </w:pPr>
      <w:r>
        <w:t>Canada — Ontario: large technology, enterprise and agricultural research ecosystem; government and industry opportunities.</w:t>
      </w:r>
    </w:p>
    <w:p>
      <w:pPr>
        <w:pStyle w:val="ListBullet"/>
      </w:pPr>
      <w:r>
        <w:t>Canada — British Columbia: AI, quantum, engineering, agriculture, digital systems and regional innovation ecosystem.</w:t>
      </w:r>
    </w:p>
    <w:p>
      <w:pPr>
        <w:pStyle w:val="Heading1"/>
      </w:pPr>
      <w:r>
        <w:t>3. Beyond Agriculture: QAI Demonstration Portfolio</w:t>
      </w:r>
    </w:p>
    <w:p>
      <w:r>
        <w:t>Agriculture remains an important demonstration domain, but the QAI capability should not be presented as agriculture-only. A small portfolio of focused notebooks can demonstrate how the same QAI architecture applies to other nationally important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Pilot concept</w:t>
            </w:r>
          </w:p>
        </w:tc>
        <w:tc>
          <w:tcPr>
            <w:tcW w:type="dxa" w:w="3312"/>
          </w:tcPr>
          <w:p>
            <w:r>
              <w:t>Primary demonstration</w:t>
            </w:r>
          </w:p>
        </w:tc>
      </w:tr>
      <w:tr>
        <w:tc>
          <w:tcPr>
            <w:tcW w:type="dxa" w:w="3312"/>
          </w:tcPr>
          <w:p>
            <w:r>
              <w:t>Agriculture</w:t>
            </w:r>
          </w:p>
        </w:tc>
        <w:tc>
          <w:tcPr>
            <w:tcW w:type="dxa" w:w="3312"/>
          </w:tcPr>
          <w:p>
            <w:r>
              <w:t>QAI Digital Farm</w:t>
            </w:r>
          </w:p>
        </w:tc>
        <w:tc>
          <w:tcPr>
            <w:tcW w:type="dxa" w:w="3312"/>
          </w:tcPr>
          <w:p>
            <w:r>
              <w:t>Optimization, digital twins, resource management</w:t>
            </w:r>
          </w:p>
        </w:tc>
      </w:tr>
      <w:tr>
        <w:tc>
          <w:tcPr>
            <w:tcW w:type="dxa" w:w="3312"/>
          </w:tcPr>
          <w:p>
            <w:r>
              <w:t>Defence</w:t>
            </w:r>
          </w:p>
        </w:tc>
        <w:tc>
          <w:tcPr>
            <w:tcW w:type="dxa" w:w="3312"/>
          </w:tcPr>
          <w:p>
            <w:r>
              <w:t>QAI Systems Assurance &amp; Predictive Lifecycle Management</w:t>
            </w:r>
          </w:p>
        </w:tc>
        <w:tc>
          <w:tcPr>
            <w:tcW w:type="dxa" w:w="3312"/>
          </w:tcPr>
          <w:p>
            <w:r>
              <w:t>Failure/degradation analysis, predictive maintenance, lifecycle risk and assurance</w:t>
            </w:r>
          </w:p>
        </w:tc>
      </w:tr>
      <w:tr>
        <w:tc>
          <w:tcPr>
            <w:tcW w:type="dxa" w:w="3312"/>
          </w:tcPr>
          <w:p>
            <w:r>
              <w:t>Law &amp; order / public safety</w:t>
            </w:r>
          </w:p>
        </w:tc>
        <w:tc>
          <w:tcPr>
            <w:tcW w:type="dxa" w:w="3312"/>
          </w:tcPr>
          <w:p>
            <w:r>
              <w:t>QAI Incident &amp; Resource Planning</w:t>
            </w:r>
          </w:p>
        </w:tc>
        <w:tc>
          <w:tcPr>
            <w:tcW w:type="dxa" w:w="3312"/>
          </w:tcPr>
          <w:p>
            <w:r>
              <w:t>Synthetic scenario analysis, scheduling and resource allocation</w:t>
            </w:r>
          </w:p>
        </w:tc>
      </w:tr>
      <w:tr>
        <w:tc>
          <w:tcPr>
            <w:tcW w:type="dxa" w:w="3312"/>
          </w:tcPr>
          <w:p>
            <w:r>
              <w:t>Cybersecurity</w:t>
            </w:r>
          </w:p>
        </w:tc>
        <w:tc>
          <w:tcPr>
            <w:tcW w:type="dxa" w:w="3312"/>
          </w:tcPr>
          <w:p>
            <w:r>
              <w:t>QAI Cyber Risk Optimizer</w:t>
            </w:r>
          </w:p>
        </w:tc>
        <w:tc>
          <w:tcPr>
            <w:tcW w:type="dxa" w:w="3312"/>
          </w:tcPr>
          <w:p>
            <w:r>
              <w:t>Risk prioritization and defensive resource allocation</w:t>
            </w:r>
          </w:p>
        </w:tc>
      </w:tr>
      <w:tr>
        <w:tc>
          <w:tcPr>
            <w:tcW w:type="dxa" w:w="3312"/>
          </w:tcPr>
          <w:p>
            <w:r>
              <w:t>Critical infrastructure</w:t>
            </w:r>
          </w:p>
        </w:tc>
        <w:tc>
          <w:tcPr>
            <w:tcW w:type="dxa" w:w="3312"/>
          </w:tcPr>
          <w:p>
            <w:r>
              <w:t>QAI Resilience Twin</w:t>
            </w:r>
          </w:p>
        </w:tc>
        <w:tc>
          <w:tcPr>
            <w:tcW w:type="dxa" w:w="3312"/>
          </w:tcPr>
          <w:p>
            <w:r>
              <w:t>Failure scenarios, dependency analysis and recovery optimization</w:t>
            </w:r>
          </w:p>
        </w:tc>
      </w:tr>
      <w:tr>
        <w:tc>
          <w:tcPr>
            <w:tcW w:type="dxa" w:w="3312"/>
          </w:tcPr>
          <w:p>
            <w:r>
              <w:t>Emergency management</w:t>
            </w:r>
          </w:p>
        </w:tc>
        <w:tc>
          <w:tcPr>
            <w:tcW w:type="dxa" w:w="3312"/>
          </w:tcPr>
          <w:p>
            <w:r>
              <w:t>QAI Emergency Response</w:t>
            </w:r>
          </w:p>
        </w:tc>
        <w:tc>
          <w:tcPr>
            <w:tcW w:type="dxa" w:w="3312"/>
          </w:tcPr>
          <w:p>
            <w:r>
              <w:t>Dispatch, scheduling and resource optimization</w:t>
            </w:r>
          </w:p>
        </w:tc>
      </w:tr>
      <w:tr>
        <w:tc>
          <w:tcPr>
            <w:tcW w:type="dxa" w:w="3312"/>
          </w:tcPr>
          <w:p>
            <w:r>
              <w:t>Transport</w:t>
            </w:r>
          </w:p>
        </w:tc>
        <w:tc>
          <w:tcPr>
            <w:tcW w:type="dxa" w:w="3312"/>
          </w:tcPr>
          <w:p>
            <w:r>
              <w:t>QAI Mobility Optimizer</w:t>
            </w:r>
          </w:p>
        </w:tc>
        <w:tc>
          <w:tcPr>
            <w:tcW w:type="dxa" w:w="3312"/>
          </w:tcPr>
          <w:p>
            <w:r>
              <w:t>Routing, scheduling and constrained optimization</w:t>
            </w:r>
          </w:p>
        </w:tc>
      </w:tr>
      <w:tr>
        <w:tc>
          <w:tcPr>
            <w:tcW w:type="dxa" w:w="3312"/>
          </w:tcPr>
          <w:p>
            <w:r>
              <w:t>Energy</w:t>
            </w:r>
          </w:p>
        </w:tc>
        <w:tc>
          <w:tcPr>
            <w:tcW w:type="dxa" w:w="3312"/>
          </w:tcPr>
          <w:p>
            <w:r>
              <w:t>QAI Grid / Load Optimizer</w:t>
            </w:r>
          </w:p>
        </w:tc>
        <w:tc>
          <w:tcPr>
            <w:tcW w:type="dxa" w:w="3312"/>
          </w:tcPr>
          <w:p>
            <w:r>
              <w:t>Demand, resource and scenario optimization</w:t>
            </w:r>
          </w:p>
        </w:tc>
      </w:tr>
      <w:tr>
        <w:tc>
          <w:tcPr>
            <w:tcW w:type="dxa" w:w="3312"/>
          </w:tcPr>
          <w:p>
            <w:r>
              <w:t>Space</w:t>
            </w:r>
          </w:p>
        </w:tc>
        <w:tc>
          <w:tcPr>
            <w:tcW w:type="dxa" w:w="3312"/>
          </w:tcPr>
          <w:p>
            <w:r>
              <w:t>QAI Mission Planning</w:t>
            </w:r>
          </w:p>
        </w:tc>
        <w:tc>
          <w:tcPr>
            <w:tcW w:type="dxa" w:w="3312"/>
          </w:tcPr>
          <w:p>
            <w:r>
              <w:t>Synthetic scheduling and constrained optimization</w:t>
            </w:r>
          </w:p>
        </w:tc>
      </w:tr>
    </w:tbl>
    <w:p>
      <w:pPr>
        <w:pStyle w:val="Heading1"/>
      </w:pPr>
      <w:r>
        <w:t>4. Small, Effective QAI Mini-Pilot Pattern</w:t>
      </w:r>
    </w:p>
    <w:p>
      <w:r>
        <w:t>The objective is not to create nine separate products. A common QAI execution skeleton can be reused while the domain model, synthetic data and KPIs are changed.</w:t>
      </w:r>
    </w:p>
    <w:p>
      <w:pPr>
        <w:pStyle w:val="ListNumber"/>
      </w:pPr>
      <w:r>
        <w:t>01 — Problem definition</w:t>
      </w:r>
    </w:p>
    <w:p>
      <w:pPr>
        <w:pStyle w:val="ListNumber"/>
      </w:pPr>
      <w:r>
        <w:t>02 — Synthetic data</w:t>
      </w:r>
    </w:p>
    <w:p>
      <w:pPr>
        <w:pStyle w:val="ListNumber"/>
      </w:pPr>
      <w:r>
        <w:t>03 — Classical baseline</w:t>
      </w:r>
    </w:p>
    <w:p>
      <w:pPr>
        <w:pStyle w:val="ListNumber"/>
      </w:pPr>
      <w:r>
        <w:t>04 — QAI model</w:t>
      </w:r>
    </w:p>
    <w:p>
      <w:pPr>
        <w:pStyle w:val="ListNumber"/>
      </w:pPr>
      <w:r>
        <w:t>05 — Simulation / emulation</w:t>
      </w:r>
    </w:p>
    <w:p>
      <w:pPr>
        <w:pStyle w:val="ListNumber"/>
      </w:pPr>
      <w:r>
        <w:t>06 — Optimization / analysis</w:t>
      </w:r>
    </w:p>
    <w:p>
      <w:pPr>
        <w:pStyle w:val="ListNumber"/>
      </w:pPr>
      <w:r>
        <w:t>07 — Comparison</w:t>
      </w:r>
    </w:p>
    <w:p>
      <w:pPr>
        <w:pStyle w:val="ListNumber"/>
      </w:pPr>
      <w:r>
        <w:t>08 — Visualization</w:t>
      </w:r>
    </w:p>
    <w:p>
      <w:pPr>
        <w:pStyle w:val="ListNumber"/>
      </w:pPr>
      <w:r>
        <w:t>09 — KPI results</w:t>
      </w:r>
    </w:p>
    <w:p>
      <w:pPr>
        <w:pStyle w:val="ListNumber"/>
      </w:pPr>
      <w:r>
        <w:t>10 — Conclusion and limitations</w:t>
      </w:r>
    </w:p>
    <w:p>
      <w:r>
        <w:t>A target size of roughly 500–2,000 lines of Python is reasonable for a focused mini-pilot. The question should be whether the QAI approach provides a measurable or useful capability for the specific decision problem. Quantum advantage should not be claimed unless experiments support it.</w:t>
      </w:r>
    </w:p>
    <w:p>
      <w:pPr>
        <w:pStyle w:val="Heading1"/>
      </w:pPr>
      <w:r>
        <w:t>5. Defence-Oriented QAI Systems Assurance</w:t>
      </w:r>
    </w:p>
    <w:p>
      <w:r>
        <w:t>The proposed defence demonstration remains at a systems-engineering, assurance and lifecycle decision-support level rather than operational weapons or targeting applications.</w:t>
      </w:r>
    </w:p>
    <w:p>
      <w:pPr>
        <w:pStyle w:val="Heading2"/>
      </w:pPr>
      <w:r>
        <w:t>Core concept: QAI Systems Assurance &amp; Predictive Lifecycle Management</w:t>
      </w:r>
    </w:p>
    <w:p>
      <w:pPr>
        <w:pStyle w:val="ListBullet"/>
      </w:pPr>
      <w:r>
        <w:t>Model a synthetic defence/critical-system asset and its system elements.</w:t>
      </w:r>
    </w:p>
    <w:p>
      <w:pPr>
        <w:pStyle w:val="ListBullet"/>
      </w:pPr>
      <w:r>
        <w:t>Represent subsystem/component dependencies and operating states.</w:t>
      </w:r>
    </w:p>
    <w:p>
      <w:pPr>
        <w:pStyle w:val="ListBullet"/>
      </w:pPr>
      <w:r>
        <w:t>Model failure modes, degradation trajectories and maintenance events.</w:t>
      </w:r>
    </w:p>
    <w:p>
      <w:pPr>
        <w:pStyle w:val="ListBullet"/>
      </w:pPr>
      <w:r>
        <w:t>Apply predictive analysis to system-element behaviour.</w:t>
      </w:r>
    </w:p>
    <w:p>
      <w:pPr>
        <w:pStyle w:val="ListBullet"/>
      </w:pPr>
      <w:r>
        <w:t>Evaluate reliability, availability and lifecycle risk.</w:t>
      </w:r>
    </w:p>
    <w:p>
      <w:pPr>
        <w:pStyle w:val="ListBullet"/>
      </w:pPr>
      <w:r>
        <w:t>Optimize maintenance and resource scheduling.</w:t>
      </w:r>
    </w:p>
    <w:p>
      <w:pPr>
        <w:pStyle w:val="ListBullet"/>
      </w:pPr>
      <w:r>
        <w:t>Perform configuration/change-impact and scenario analysis.</w:t>
      </w:r>
    </w:p>
    <w:p>
      <w:pPr>
        <w:pStyle w:val="ListBullet"/>
      </w:pPr>
      <w:r>
        <w:t>Generate assurance evidence through validation, uncertainty analysis and repeatable experiments.</w:t>
      </w:r>
    </w:p>
    <w:p>
      <w:pPr>
        <w:pStyle w:val="ListBullet"/>
      </w:pPr>
      <w:r>
        <w:t>Identify conditions that may produce unexpected system behaviour or lifecycle surprises.</w:t>
      </w:r>
    </w:p>
    <w:p>
      <w:pPr>
        <w:pStyle w:val="Heading2"/>
      </w:pPr>
      <w:r>
        <w:t>Illustrative lifecycle flow:</w:t>
      </w:r>
    </w:p>
    <w:p>
      <w:r>
        <w:rPr>
          <w:b/>
        </w:rPr>
        <w:t>Observe → Model → Predict → Assess → Assure → Act → Learn</w:t>
      </w:r>
    </w:p>
    <w:p>
      <w:r>
        <w:t>The central engineering question is: Can QAI help engineers understand system behaviour, anticipate degradation and failure, evaluate lifecycle risks, and improve assurance before unexpected events occur?</w:t>
      </w:r>
    </w:p>
    <w:p>
      <w:pPr>
        <w:pStyle w:val="Heading1"/>
      </w:pPr>
      <w:r>
        <w:t>6. Common QAI Systems Assurance Architecture</w:t>
      </w:r>
    </w:p>
    <w:p>
      <w:pPr>
        <w:pStyle w:val="ListBullet"/>
      </w:pPr>
      <w:r>
        <w:t>System / domain model</w:t>
      </w:r>
    </w:p>
    <w:p>
      <w:pPr>
        <w:pStyle w:val="ListBullet"/>
      </w:pPr>
      <w:r>
        <w:t>Failure and degradation model</w:t>
      </w:r>
    </w:p>
    <w:p>
      <w:pPr>
        <w:pStyle w:val="ListBullet"/>
      </w:pPr>
      <w:r>
        <w:t>Classical baseline</w:t>
      </w:r>
    </w:p>
    <w:p>
      <w:pPr>
        <w:pStyle w:val="ListBullet"/>
      </w:pPr>
      <w:r>
        <w:t>QAI analysis: prediction, optimization and scenario analysis</w:t>
      </w:r>
    </w:p>
    <w:p>
      <w:pPr>
        <w:pStyle w:val="ListBullet"/>
      </w:pPr>
      <w:r>
        <w:t>Maintenance / resource planning</w:t>
      </w:r>
    </w:p>
    <w:p>
      <w:pPr>
        <w:pStyle w:val="ListBullet"/>
      </w:pPr>
      <w:r>
        <w:t>Lifecycle risk analysis</w:t>
      </w:r>
    </w:p>
    <w:p>
      <w:pPr>
        <w:pStyle w:val="ListBullet"/>
      </w:pPr>
      <w:r>
        <w:t>Assurance: validation, uncertainty and evidence</w:t>
      </w:r>
    </w:p>
    <w:p>
      <w:pPr>
        <w:pStyle w:val="ListBullet"/>
      </w:pPr>
      <w:r>
        <w:t>Results: reliability, availability, risk, cost and unexpected-event indicators</w:t>
      </w:r>
    </w:p>
    <w:p>
      <w:r>
        <w:t>The same architecture can be adapted to defence, transport, energy, agriculture, emergency services and other critical infrastructure domains.</w:t>
      </w:r>
    </w:p>
    <w:p>
      <w:pPr>
        <w:pStyle w:val="Heading1"/>
      </w:pPr>
      <w:r>
        <w:t>7. Opportunity Discovery Strategy</w:t>
      </w:r>
    </w:p>
    <w:p>
      <w:r>
        <w:t>After the principal procurement registrations, the next layer is to identify organizations that may be interested in QAI demonstrations, research collaboration or technology partnerships.</w:t>
      </w:r>
    </w:p>
    <w:p>
      <w:pPr>
        <w:pStyle w:val="ListBullet"/>
      </w:pPr>
      <w:r>
        <w:t>Universities and research institutes — research collaboration, sponsored research, technology transfer and applied pilots.</w:t>
      </w:r>
    </w:p>
    <w:p>
      <w:pPr>
        <w:pStyle w:val="ListBullet"/>
      </w:pPr>
      <w:r>
        <w:t>Federal and state/provincial agencies — innovation programs, proof-of-value activities and domain pilots.</w:t>
      </w:r>
    </w:p>
    <w:p>
      <w:pPr>
        <w:pStyle w:val="ListBullet"/>
      </w:pPr>
      <w:r>
        <w:t>Government contractors and systems integrators — specialist QAI capability as a technology partner.</w:t>
      </w:r>
    </w:p>
    <w:p>
      <w:pPr>
        <w:pStyle w:val="ListBullet"/>
      </w:pPr>
      <w:r>
        <w:t>Agriculture and industry organizations — domain demonstrations.</w:t>
      </w:r>
    </w:p>
    <w:p>
      <w:pPr>
        <w:pStyle w:val="ListBullet"/>
      </w:pPr>
      <w:r>
        <w:t>Defence, critical-technology and security organizations — systems assurance, resilience and lifecycle analytics.</w:t>
      </w:r>
    </w:p>
    <w:p>
      <w:pPr>
        <w:pStyle w:val="ListBullet"/>
      </w:pPr>
      <w:r>
        <w:t>Regional development organizations — regional technology demonstrations and ecosystem partnerships.</w:t>
      </w:r>
    </w:p>
    <w:p>
      <w:pPr>
        <w:pStyle w:val="Heading1"/>
      </w:pPr>
      <w:r>
        <w:t>8. Suggested Opportunity Funnel</w:t>
      </w:r>
    </w:p>
    <w:p>
      <w:r>
        <w:rPr>
          <w:b/>
        </w:rPr>
        <w:t>Tender portals → Direct government opportunities → Universities/research → Agencies → Primes/contractors → Pilot partners → Commercial deployment</w:t>
      </w:r>
    </w:p>
    <w:p>
      <w:r>
        <w:t>The same QAI technical evidence can support different conversations. An agriculture department can receive a Digital Farm proposition; an AI institute can receive a QAI/AI collaboration proposition; a systems-engineering or defence organization can receive a Systems Assurance proposition; and a systems integrator can receive a technology-partner proposition.</w:t>
      </w:r>
    </w:p>
    <w:p>
      <w:pPr>
        <w:pStyle w:val="Heading1"/>
      </w:pPr>
      <w:r>
        <w:t>9. Outreach Principle</w:t>
      </w:r>
    </w:p>
    <w:p>
      <w:r>
        <w:t>Use the smallest relevant demonstration rather than presenting the entire QAI portfolio. The substantial ~12K-line pilot provides the foundation, while focused mini-pilots provide domain-specific evidence.</w:t>
      </w:r>
    </w:p>
    <w:p>
      <w:r>
        <w:rPr>
          <w:b/>
        </w:rPr>
        <w:t xml:space="preserve">Suggested proposition: </w:t>
      </w:r>
      <w:r>
        <w:t>Bhadale IT has developed a working QAI pilot platform demonstrating hybrid quantum-classical workflows, virtual assets, simulation/emulation and domain-specific decision-support capabilities. The organization is seeking research, pilot, technology-partner and remote PoC opportunities in agriculture, critical infrastructure, systems assurance and other emerging-technology applications.</w:t>
      </w:r>
    </w:p>
    <w:p>
      <w:pPr>
        <w:pStyle w:val="Heading1"/>
      </w:pPr>
      <w:r>
        <w:t>10. Important Qualification</w:t>
      </w:r>
    </w:p>
    <w:p>
      <w:r>
        <w:t>Immigration, visa processing priority, procurement eligibility and security-clearance eligibility are separate matters. A national-priority alignment or pilot does not itself establish visa eligibility, sponsorship, procurement eligibility or security clearance. Each opportunity should be assessed against its current official requirements.</w:t>
      </w:r>
    </w:p>
    <w:p>
      <w:pPr>
        <w:pStyle w:val="Heading1"/>
      </w:pPr>
      <w:r>
        <w:t>11. Working Strategic Model</w:t>
      </w:r>
    </w:p>
    <w:p>
      <w:r>
        <w:rPr>
          <w:b/>
        </w:rPr>
        <w:t>QAI technical asset → Remote demonstration → Research / government / industry engagement → Pilot or partnership → Commercial deployment → Local structure when justified</w:t>
      </w:r>
    </w:p>
    <w:p>
      <w:r>
        <w:t>This model preserves flexibility: demonstrate capability internationally first, establish commercial relationships, and introduce local corporate infrastructure when a concrete opportunity requires it.</w:t>
      </w:r>
    </w:p>
    <w:p/>
    <w:p>
      <w:pPr>
        <w:jc w:val="center"/>
      </w:pPr>
      <w:r>
        <w:rPr>
          <w:b/>
        </w:rPr>
        <w:t>Bhadale IT — QAI Reference Strategy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