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QAI-PQC Cybersecurity &amp; Assurance Strategy</w:t>
      </w:r>
    </w:p>
    <w:p>
      <w:pPr>
        <w:jc w:val="center"/>
      </w:pPr>
      <w:r>
        <w:rPr>
          <w:b/>
        </w:rPr>
        <w:t>QAI Stack + QAI Lab + CPS Virtual Environment for G7-Aligned PQC Migration</w:t>
      </w:r>
    </w:p>
    <w:p>
      <w:r>
        <w:t>Purpose: define a practical, sandboxed QAI pilot supporting post-quantum cryptography (PQC) migration through systems engineering, cyber-risk analysis, threat simulation, prediction, optimization and assurance.</w:t>
      </w:r>
    </w:p>
    <w:p>
      <w:pPr>
        <w:pStyle w:val="Heading1"/>
      </w:pPr>
      <w:r>
        <w:t>1. Strategic Proposition</w:t>
      </w:r>
    </w:p>
    <w:p>
      <w:r>
        <w:t>QAI is treated as a blended platform rather than a replacement for classical computing or AI. It combines classical computing, AI/ML, optimization, simulation/emulation, digital twins and quantum or quantum-inspired methods where appropriate.</w:t>
      </w:r>
    </w:p>
    <w:p>
      <w:r>
        <w:t>The QAI Lab provides a controlled CPS virtual environment in which organizations can discover cryptographic dependencies, model threats and failures, assess PQC exposure, optimize migration and defensive resources, test alternative strategies, and generate repeatable assurance evidence.</w:t>
      </w:r>
    </w:p>
    <w:p>
      <w:pPr>
        <w:pStyle w:val="Heading1"/>
      </w:pPr>
      <w:r>
        <w:t>2. G7 Alignment</w:t>
      </w:r>
    </w:p>
    <w:p>
      <w:r>
        <w:t>The pilot is designed around the G7 Cybersecurity Working Group statement on preparing for post-quantum cryptography migration. The G7 guidance treats PQC migration as a cybersecurity and risk-management activity involving discovery, prioritization, cryptographic agility, transition, testing, documentation and integration with existing security-management processes.</w:t>
      </w:r>
    </w:p>
    <w:p>
      <w:pPr>
        <w:pStyle w:val="Heading1"/>
      </w:pPr>
      <w:r>
        <w:t>3. QAI Stack and QAI Lab</w:t>
      </w:r>
    </w:p>
    <w:p>
      <w:pPr>
        <w:pStyle w:val="ListBullet"/>
      </w:pPr>
      <w:r>
        <w:t>QAI Intelligence — threat intelligence, prediction, anomaly analysis and decision support.</w:t>
      </w:r>
    </w:p>
    <w:p>
      <w:pPr>
        <w:pStyle w:val="ListBullet"/>
      </w:pPr>
      <w:r>
        <w:t>QAI Optimization — migration sequencing, constrained resource allocation and scenario optimization.</w:t>
      </w:r>
    </w:p>
    <w:p>
      <w:pPr>
        <w:pStyle w:val="ListBullet"/>
      </w:pPr>
      <w:r>
        <w:t>QAI Simulation/Emulation — controlled experiments without requiring physical devices.</w:t>
      </w:r>
    </w:p>
    <w:p>
      <w:pPr>
        <w:pStyle w:val="ListBullet"/>
      </w:pPr>
      <w:r>
        <w:t>QAI Digital Twin / Virtual Assets — representations of applications, networks, devices, identities, cryptographic components and dependencies.</w:t>
      </w:r>
    </w:p>
    <w:p>
      <w:pPr>
        <w:pStyle w:val="ListBullet"/>
      </w:pPr>
      <w:r>
        <w:t>QAI Assurance — validation, evidence, uncertainty and residual-risk analysis.</w:t>
      </w:r>
    </w:p>
    <w:p>
      <w:pPr>
        <w:pStyle w:val="ListBullet"/>
      </w:pPr>
      <w:r>
        <w:t>Classical / AI / Quantum execution — select the appropriate computational method per workload.</w:t>
      </w:r>
    </w:p>
    <w:p>
      <w:pPr>
        <w:pStyle w:val="ListBullet"/>
      </w:pPr>
      <w:r>
        <w:t>QAI Lab — isolated, repeatable, resettable experimentation environment.</w:t>
      </w:r>
    </w:p>
    <w:p>
      <w:pPr>
        <w:pStyle w:val="Heading1"/>
      </w:pPr>
      <w:r>
        <w:t>4. CPS Virtual Environment as Safety Boundary</w:t>
      </w:r>
    </w:p>
    <w:p>
      <w:r>
        <w:t>Virtual assets, emulators and synthetic data can represent enterprise, cloud, IoT, OT and critical-infrastructure components. Synthetic faults, vulnerabilities and attack scenarios can be introduced without interacting with external production devices.</w:t>
      </w:r>
    </w:p>
    <w:p>
      <w:r>
        <w:rPr>
          <w:b/>
        </w:rPr>
        <w:t xml:space="preserve">Experiment loop: </w:t>
      </w:r>
      <w:r>
        <w:t>Model → Inject synthetic threat/fault → Observe → Predict → Assess → Optimize → Adapt → Re-test → Assure</w:t>
      </w:r>
    </w:p>
    <w:p>
      <w:pPr>
        <w:pStyle w:val="Heading1"/>
      </w:pPr>
      <w:r>
        <w:t>5. G7-Aligned Test Matrix</w:t>
      </w:r>
    </w:p>
    <w:tbl>
      <w:tblPr>
        <w:tblStyle w:val="TableGrid"/>
        <w:tblW w:type="auto" w:w="0"/>
        <w:jc w:val="center"/>
        <w:tblLook w:firstColumn="1" w:firstRow="1" w:lastColumn="0" w:lastRow="0" w:noHBand="0" w:noVBand="1" w:val="04A0"/>
      </w:tblPr>
      <w:tblGrid>
        <w:gridCol w:w="5040"/>
        <w:gridCol w:w="5040"/>
      </w:tblGrid>
      <w:tr>
        <w:tc>
          <w:tcPr>
            <w:tcW w:type="dxa" w:w="5040"/>
          </w:tcPr>
          <w:p>
            <w:r>
              <w:t>G7-aligned area</w:t>
            </w:r>
          </w:p>
        </w:tc>
        <w:tc>
          <w:tcPr>
            <w:tcW w:type="dxa" w:w="5040"/>
          </w:tcPr>
          <w:p>
            <w:r>
              <w:t>QAI Lab contribution</w:t>
            </w:r>
          </w:p>
        </w:tc>
      </w:tr>
      <w:tr>
        <w:tc>
          <w:tcPr>
            <w:tcW w:type="dxa" w:w="5040"/>
          </w:tcPr>
          <w:p>
            <w:r>
              <w:t>Governance</w:t>
            </w:r>
          </w:p>
        </w:tc>
        <w:tc>
          <w:tcPr>
            <w:tcW w:type="dxa" w:w="5040"/>
          </w:tcPr>
          <w:p>
            <w:r>
              <w:t>QAI risk dashboard, decision gates, ownership and migration status.</w:t>
            </w:r>
          </w:p>
        </w:tc>
      </w:tr>
      <w:tr>
        <w:tc>
          <w:tcPr>
            <w:tcW w:type="dxa" w:w="5040"/>
          </w:tcPr>
          <w:p>
            <w:r>
              <w:t>Project teams</w:t>
            </w:r>
          </w:p>
        </w:tc>
        <w:tc>
          <w:tcPr>
            <w:tcW w:type="dxa" w:w="5040"/>
          </w:tcPr>
          <w:p>
            <w:r>
              <w:t>Model technical, security, architecture, procurement and risk roles.</w:t>
            </w:r>
          </w:p>
        </w:tc>
      </w:tr>
      <w:tr>
        <w:tc>
          <w:tcPr>
            <w:tcW w:type="dxa" w:w="5040"/>
          </w:tcPr>
          <w:p>
            <w:r>
              <w:t>Organizational awareness</w:t>
            </w:r>
          </w:p>
        </w:tc>
        <w:tc>
          <w:tcPr>
            <w:tcW w:type="dxa" w:w="5040"/>
          </w:tcPr>
          <w:p>
            <w:r>
              <w:t>Simulate operational and user impacts of PQC migration.</w:t>
            </w:r>
          </w:p>
        </w:tc>
      </w:tr>
      <w:tr>
        <w:tc>
          <w:tcPr>
            <w:tcW w:type="dxa" w:w="5040"/>
          </w:tcPr>
          <w:p>
            <w:r>
              <w:t>Budget</w:t>
            </w:r>
          </w:p>
        </w:tc>
        <w:tc>
          <w:tcPr>
            <w:tcW w:type="dxa" w:w="5040"/>
          </w:tcPr>
          <w:p>
            <w:r>
              <w:t>Optimize migration cost, engineering capacity and lifecycle replacement.</w:t>
            </w:r>
          </w:p>
        </w:tc>
      </w:tr>
      <w:tr>
        <w:tc>
          <w:tcPr>
            <w:tcW w:type="dxa" w:w="5040"/>
          </w:tcPr>
          <w:p>
            <w:r>
              <w:t>Cryptographic agility</w:t>
            </w:r>
          </w:p>
        </w:tc>
        <w:tc>
          <w:tcPr>
            <w:tcW w:type="dxa" w:w="5040"/>
          </w:tcPr>
          <w:p>
            <w:r>
              <w:t>Experiment with substitution of cryptographic components in virtual assets.</w:t>
            </w:r>
          </w:p>
        </w:tc>
      </w:tr>
      <w:tr>
        <w:tc>
          <w:tcPr>
            <w:tcW w:type="dxa" w:w="5040"/>
          </w:tcPr>
          <w:p>
            <w:r>
              <w:t>Cryptographic inventory</w:t>
            </w:r>
          </w:p>
        </w:tc>
        <w:tc>
          <w:tcPr>
            <w:tcW w:type="dxa" w:w="5040"/>
          </w:tcPr>
          <w:p>
            <w:r>
              <w:t>Create a synthetic inventory of cryptographic mechanisms and assets.</w:t>
            </w:r>
          </w:p>
        </w:tc>
      </w:tr>
      <w:tr>
        <w:tc>
          <w:tcPr>
            <w:tcW w:type="dxa" w:w="5040"/>
          </w:tcPr>
          <w:p>
            <w:r>
              <w:t>Discovery</w:t>
            </w:r>
          </w:p>
        </w:tc>
        <w:tc>
          <w:tcPr>
            <w:tcW w:type="dxa" w:w="5040"/>
          </w:tcPr>
          <w:p>
            <w:r>
              <w:t>Map cryptographic dependencies across applications, networks, devices, cloud and suppliers.</w:t>
            </w:r>
          </w:p>
        </w:tc>
      </w:tr>
      <w:tr>
        <w:tc>
          <w:tcPr>
            <w:tcW w:type="dxa" w:w="5040"/>
          </w:tcPr>
          <w:p>
            <w:r>
              <w:t>Prioritization</w:t>
            </w:r>
          </w:p>
        </w:tc>
        <w:tc>
          <w:tcPr>
            <w:tcW w:type="dxa" w:w="5040"/>
          </w:tcPr>
          <w:p>
            <w:r>
              <w:t>Rank assets using criticality, exposure, data lifetime and dependency risk.</w:t>
            </w:r>
          </w:p>
        </w:tc>
      </w:tr>
      <w:tr>
        <w:tc>
          <w:tcPr>
            <w:tcW w:type="dxa" w:w="5040"/>
          </w:tcPr>
          <w:p>
            <w:r>
              <w:t>Transition</w:t>
            </w:r>
          </w:p>
        </w:tc>
        <w:tc>
          <w:tcPr>
            <w:tcW w:type="dxa" w:w="5040"/>
          </w:tcPr>
          <w:p>
            <w:r>
              <w:t>Compare classical, PQC and hybrid migration sequences.</w:t>
            </w:r>
          </w:p>
        </w:tc>
      </w:tr>
      <w:tr>
        <w:tc>
          <w:tcPr>
            <w:tcW w:type="dxa" w:w="5040"/>
          </w:tcPr>
          <w:p>
            <w:r>
              <w:t>Testing</w:t>
            </w:r>
          </w:p>
        </w:tc>
        <w:tc>
          <w:tcPr>
            <w:tcW w:type="dxa" w:w="5040"/>
          </w:tcPr>
          <w:p>
            <w:r>
              <w:t>Repeat controlled attack, failure and migration experiments.</w:t>
            </w:r>
          </w:p>
        </w:tc>
      </w:tr>
      <w:tr>
        <w:tc>
          <w:tcPr>
            <w:tcW w:type="dxa" w:w="5040"/>
          </w:tcPr>
          <w:p>
            <w:r>
              <w:t>Documentation</w:t>
            </w:r>
          </w:p>
        </w:tc>
        <w:tc>
          <w:tcPr>
            <w:tcW w:type="dxa" w:w="5040"/>
          </w:tcPr>
          <w:p>
            <w:r>
              <w:t>Generate experiment records, evidence and traceability.</w:t>
            </w:r>
          </w:p>
        </w:tc>
      </w:tr>
      <w:tr>
        <w:tc>
          <w:tcPr>
            <w:tcW w:type="dxa" w:w="5040"/>
          </w:tcPr>
          <w:p>
            <w:r>
              <w:t>Hybrid cryptography</w:t>
            </w:r>
          </w:p>
        </w:tc>
        <w:tc>
          <w:tcPr>
            <w:tcW w:type="dxa" w:w="5040"/>
          </w:tcPr>
          <w:p>
            <w:r>
              <w:t>Evaluate classical + PQC configurations in the virtual environment.</w:t>
            </w:r>
          </w:p>
        </w:tc>
      </w:tr>
      <w:tr>
        <w:tc>
          <w:tcPr>
            <w:tcW w:type="dxa" w:w="5040"/>
          </w:tcPr>
          <w:p>
            <w:r>
              <w:t>Cloud</w:t>
            </w:r>
          </w:p>
        </w:tc>
        <w:tc>
          <w:tcPr>
            <w:tcW w:type="dxa" w:w="5040"/>
          </w:tcPr>
          <w:p>
            <w:r>
              <w:t>Model cloud and externally managed cryptographic dependencies.</w:t>
            </w:r>
          </w:p>
        </w:tc>
      </w:tr>
      <w:tr>
        <w:tc>
          <w:tcPr>
            <w:tcW w:type="dxa" w:w="5040"/>
          </w:tcPr>
          <w:p>
            <w:r>
              <w:t>OT/CPS</w:t>
            </w:r>
          </w:p>
        </w:tc>
        <w:tc>
          <w:tcPr>
            <w:tcW w:type="dxa" w:w="5040"/>
          </w:tcPr>
          <w:p>
            <w:r>
              <w:t>Evaluate constrained virtual OT/CPS assets and dependencies.</w:t>
            </w:r>
          </w:p>
        </w:tc>
      </w:tr>
      <w:tr>
        <w:tc>
          <w:tcPr>
            <w:tcW w:type="dxa" w:w="5040"/>
          </w:tcPr>
          <w:p>
            <w:r>
              <w:t>Certification/standards</w:t>
            </w:r>
          </w:p>
        </w:tc>
        <w:tc>
          <w:tcPr>
            <w:tcW w:type="dxa" w:w="5040"/>
          </w:tcPr>
          <w:p>
            <w:r>
              <w:t>Map experimental evidence to applicable controls and standards.</w:t>
            </w:r>
          </w:p>
        </w:tc>
      </w:tr>
      <w:tr>
        <w:tc>
          <w:tcPr>
            <w:tcW w:type="dxa" w:w="5040"/>
          </w:tcPr>
          <w:p>
            <w:r>
              <w:t>ISMS/risk management</w:t>
            </w:r>
          </w:p>
        </w:tc>
        <w:tc>
          <w:tcPr>
            <w:tcW w:type="dxa" w:w="5040"/>
          </w:tcPr>
          <w:p>
            <w:r>
              <w:t>Integrate QAI risk and assurance results into lifecycle risk management.</w:t>
            </w:r>
          </w:p>
        </w:tc>
      </w:tr>
    </w:tbl>
    <w:p>
      <w:pPr>
        <w:pStyle w:val="Heading1"/>
      </w:pPr>
      <w:r>
        <w:t>6. Cyber Threat and Failure Experiments</w:t>
      </w:r>
    </w:p>
    <w:p>
      <w:r>
        <w:t>The sandbox can incorporate threat scenarios informed by MITRE ATT&amp;CK, cybersecurity risk analysis and appropriate vulnerability/penetration-testing methodologies. Experiments remain contained within synthetic or emulated assets.</w:t>
      </w:r>
    </w:p>
    <w:p>
      <w:pPr>
        <w:pStyle w:val="ListBullet"/>
      </w:pPr>
      <w:r>
        <w:t>Threat-intelligence scenarios</w:t>
      </w:r>
    </w:p>
    <w:p>
      <w:pPr>
        <w:pStyle w:val="ListBullet"/>
      </w:pPr>
      <w:r>
        <w:t>Initial-access and lateral-movement simulations</w:t>
      </w:r>
    </w:p>
    <w:p>
      <w:pPr>
        <w:pStyle w:val="ListBullet"/>
      </w:pPr>
      <w:r>
        <w:t>Identity and privilege-risk scenarios</w:t>
      </w:r>
    </w:p>
    <w:p>
      <w:pPr>
        <w:pStyle w:val="ListBullet"/>
      </w:pPr>
      <w:r>
        <w:t>Data-access and service-disruption scenarios</w:t>
      </w:r>
    </w:p>
    <w:p>
      <w:pPr>
        <w:pStyle w:val="ListBullet"/>
      </w:pPr>
      <w:r>
        <w:t>Cryptographic weakness and quantum-risk scenarios</w:t>
      </w:r>
    </w:p>
    <w:p>
      <w:pPr>
        <w:pStyle w:val="ListBullet"/>
      </w:pPr>
      <w:r>
        <w:t>Component failure and degradation scenarios</w:t>
      </w:r>
    </w:p>
    <w:p>
      <w:pPr>
        <w:pStyle w:val="ListBullet"/>
      </w:pPr>
      <w:r>
        <w:t>Fault-tree and dependency analysis</w:t>
      </w:r>
    </w:p>
    <w:p>
      <w:pPr>
        <w:pStyle w:val="ListBullet"/>
      </w:pPr>
      <w:r>
        <w:t>Weak-chain and critical-path analysis</w:t>
      </w:r>
    </w:p>
    <w:p>
      <w:pPr>
        <w:pStyle w:val="ListBullet"/>
      </w:pPr>
      <w:r>
        <w:t>Recovery and resilience experiments</w:t>
      </w:r>
    </w:p>
    <w:p>
      <w:pPr>
        <w:pStyle w:val="ListBullet"/>
      </w:pPr>
      <w:r>
        <w:t>Repeated validation after adaptive security changes</w:t>
      </w:r>
    </w:p>
    <w:p>
      <w:pPr>
        <w:pStyle w:val="Heading1"/>
      </w:pPr>
      <w:r>
        <w:t>7. Intelligent PQC Strategy</w:t>
      </w:r>
    </w:p>
    <w:p>
      <w:r>
        <w:t>QAI can treat cryptographic modernization as a dynamic systems-engineering optimization problem rather than a one-time cryptographic replacement.</w:t>
      </w:r>
    </w:p>
    <w:p>
      <w:pPr>
        <w:pStyle w:val="ListNumber"/>
      </w:pPr>
      <w:r>
        <w:t>Discover where cryptography is used.</w:t>
      </w:r>
    </w:p>
    <w:p>
      <w:pPr>
        <w:pStyle w:val="ListNumber"/>
      </w:pPr>
      <w:r>
        <w:t>Identify dependencies and high-value assets.</w:t>
      </w:r>
    </w:p>
    <w:p>
      <w:pPr>
        <w:pStyle w:val="ListNumber"/>
      </w:pPr>
      <w:r>
        <w:t>Estimate exposure to future quantum threats and conventional cyber threats.</w:t>
      </w:r>
    </w:p>
    <w:p>
      <w:pPr>
        <w:pStyle w:val="ListNumber"/>
      </w:pPr>
      <w:r>
        <w:t>Consider confidentiality lifetime and data sensitivity.</w:t>
      </w:r>
    </w:p>
    <w:p>
      <w:pPr>
        <w:pStyle w:val="ListNumber"/>
      </w:pPr>
      <w:r>
        <w:t>Predict failure or disruption caused by migration choices.</w:t>
      </w:r>
    </w:p>
    <w:p>
      <w:pPr>
        <w:pStyle w:val="ListNumber"/>
      </w:pPr>
      <w:r>
        <w:t>Optimize migration order under cost, resource and dependency constraints.</w:t>
      </w:r>
    </w:p>
    <w:p>
      <w:pPr>
        <w:pStyle w:val="ListNumber"/>
      </w:pPr>
      <w:r>
        <w:t>Evaluate classical, PQC and hybrid configurations.</w:t>
      </w:r>
    </w:p>
    <w:p>
      <w:pPr>
        <w:pStyle w:val="ListNumber"/>
      </w:pPr>
      <w:r>
        <w:t>Continuously reassess risk as system state and threat conditions change.</w:t>
      </w:r>
    </w:p>
    <w:p>
      <w:pPr>
        <w:pStyle w:val="ListNumber"/>
      </w:pPr>
      <w:r>
        <w:t>Produce residual-risk and assurance evidence.</w:t>
      </w:r>
    </w:p>
    <w:p>
      <w:pPr>
        <w:pStyle w:val="Heading1"/>
      </w:pPr>
      <w:r>
        <w:t>8. Adaptive Security Shield</w:t>
      </w:r>
    </w:p>
    <w:p>
      <w:r>
        <w:t>A QAI-based adaptive security concept can evaluate asset criticality, attack surface, dependency relationships, predicted threat capability, potential impact, cryptographic exposure, system degradation and available defensive resources.</w:t>
      </w:r>
    </w:p>
    <w:p>
      <w:r>
        <w:t>Potential response: increase monitoring, redundancy, segmentation, migration priority, compute or other approved defensive controls around higher-risk virtual assets. The pilot should measure whether these interventions reduce defined risk compared with a fixed-control/classical baseline.</w:t>
      </w:r>
    </w:p>
    <w:p>
      <w:pPr>
        <w:pStyle w:val="Heading1"/>
      </w:pPr>
      <w:r>
        <w:t>9. QAI Systems Assurance Lifecycle</w:t>
      </w:r>
    </w:p>
    <w:p>
      <w:pPr>
        <w:jc w:val="center"/>
      </w:pPr>
      <w:r>
        <w:rPr>
          <w:b/>
        </w:rPr>
        <w:t>Discover → Model → Predict → Assess → Optimize → Adapt → Validate → Assure</w:t>
      </w:r>
    </w:p>
    <w:p>
      <w:r>
        <w:t>This connects QAI to systems engineering: fault trees, failure modes, dependency graphs, lifecycle risk, configuration/change impact, predictive maintenance and assurance evidence.</w:t>
      </w:r>
    </w:p>
    <w:p>
      <w:pPr>
        <w:pStyle w:val="Heading1"/>
      </w:pPr>
      <w:r>
        <w:t>10. Proposed Mini-Pilot: QAI-PQC-01</w:t>
      </w:r>
    </w:p>
    <w:p>
      <w:pPr>
        <w:pStyle w:val="ListNumber"/>
      </w:pPr>
      <w:r>
        <w:t>Generate a synthetic enterprise/critical-infrastructure CPS.</w:t>
      </w:r>
    </w:p>
    <w:p>
      <w:pPr>
        <w:pStyle w:val="ListNumber"/>
      </w:pPr>
      <w:r>
        <w:t>Populate applications, network services, identity services, cloud services, devices and cryptographic assets.</w:t>
      </w:r>
    </w:p>
    <w:p>
      <w:pPr>
        <w:pStyle w:val="ListNumber"/>
      </w:pPr>
      <w:r>
        <w:t>Create a cryptographic inventory and dependency graph.</w:t>
      </w:r>
    </w:p>
    <w:p>
      <w:pPr>
        <w:pStyle w:val="ListNumber"/>
      </w:pPr>
      <w:r>
        <w:t>Assign criticality, data sensitivity and confidentiality lifetime.</w:t>
      </w:r>
    </w:p>
    <w:p>
      <w:pPr>
        <w:pStyle w:val="ListNumber"/>
      </w:pPr>
      <w:r>
        <w:t>Model conventional cyber and future quantum-related exposure.</w:t>
      </w:r>
    </w:p>
    <w:p>
      <w:pPr>
        <w:pStyle w:val="ListNumber"/>
      </w:pPr>
      <w:r>
        <w:t>Introduce synthetic threat and failure scenarios.</w:t>
      </w:r>
    </w:p>
    <w:p>
      <w:pPr>
        <w:pStyle w:val="ListNumber"/>
      </w:pPr>
      <w:r>
        <w:t>Calculate a classical baseline risk and migration plan.</w:t>
      </w:r>
    </w:p>
    <w:p>
      <w:pPr>
        <w:pStyle w:val="ListNumber"/>
      </w:pPr>
      <w:r>
        <w:t>Run QAI-based prioritization and migration optimization.</w:t>
      </w:r>
    </w:p>
    <w:p>
      <w:pPr>
        <w:pStyle w:val="ListNumber"/>
      </w:pPr>
      <w:r>
        <w:t>Compare classical, PQC and hybrid migration scenarios.</w:t>
      </w:r>
    </w:p>
    <w:p>
      <w:pPr>
        <w:pStyle w:val="ListNumber"/>
      </w:pPr>
      <w:r>
        <w:t>Re-run threat/failure scenarios after migration.</w:t>
      </w:r>
    </w:p>
    <w:p>
      <w:pPr>
        <w:pStyle w:val="ListNumber"/>
      </w:pPr>
      <w:r>
        <w:t>Measure risk reduction, resource use, operational impact and residual risk.</w:t>
      </w:r>
    </w:p>
    <w:p>
      <w:pPr>
        <w:pStyle w:val="ListNumber"/>
      </w:pPr>
      <w:r>
        <w:t>Produce an assurance report and experiment evidence.</w:t>
      </w:r>
    </w:p>
    <w:p>
      <w:pPr>
        <w:pStyle w:val="Heading1"/>
      </w:pPr>
      <w:r>
        <w:t>11. Example Research Question</w:t>
      </w:r>
    </w:p>
    <w:p>
      <w:r>
        <w:rPr>
          <w:i/>
        </w:rPr>
        <w:t>Given a synthetic CPS containing many assets with different cryptographic dependencies, criticalities and resource constraints, can QAI identify a migration and defensive-resource strategy that reduces quantum-related and conventional cyber risk while controlling cost, dependency conflicts and operational disruption?</w:t>
      </w:r>
    </w:p>
    <w:p>
      <w:pPr>
        <w:pStyle w:val="Heading1"/>
      </w:pPr>
      <w:r>
        <w:t>12. Metrics</w:t>
      </w:r>
    </w:p>
    <w:p>
      <w:pPr>
        <w:pStyle w:val="ListBullet"/>
      </w:pPr>
      <w:r>
        <w:t>Cryptographic discovery coverage</w:t>
      </w:r>
    </w:p>
    <w:p>
      <w:pPr>
        <w:pStyle w:val="ListBullet"/>
      </w:pPr>
      <w:r>
        <w:t>Critical dependency coverage</w:t>
      </w:r>
    </w:p>
    <w:p>
      <w:pPr>
        <w:pStyle w:val="ListBullet"/>
      </w:pPr>
      <w:r>
        <w:t>Risk exposure before/after intervention</w:t>
      </w:r>
    </w:p>
    <w:p>
      <w:pPr>
        <w:pStyle w:val="ListBullet"/>
      </w:pPr>
      <w:r>
        <w:t>Migration prioritization quality</w:t>
      </w:r>
    </w:p>
    <w:p>
      <w:pPr>
        <w:pStyle w:val="ListBullet"/>
      </w:pPr>
      <w:r>
        <w:t>Residual risk</w:t>
      </w:r>
    </w:p>
    <w:p>
      <w:pPr>
        <w:pStyle w:val="ListBullet"/>
      </w:pPr>
      <w:r>
        <w:t>Cost and engineering-resource consumption</w:t>
      </w:r>
    </w:p>
    <w:p>
      <w:pPr>
        <w:pStyle w:val="ListBullet"/>
      </w:pPr>
      <w:r>
        <w:t>Service disruption/downtime in simulation</w:t>
      </w:r>
    </w:p>
    <w:p>
      <w:pPr>
        <w:pStyle w:val="ListBullet"/>
      </w:pPr>
      <w:r>
        <w:t>Failure recovery time</w:t>
      </w:r>
    </w:p>
    <w:p>
      <w:pPr>
        <w:pStyle w:val="ListBullet"/>
      </w:pPr>
      <w:r>
        <w:t>Detection and response performance</w:t>
      </w:r>
    </w:p>
    <w:p>
      <w:pPr>
        <w:pStyle w:val="ListBullet"/>
      </w:pPr>
      <w:r>
        <w:t>Robustness under changing threat scenarios</w:t>
      </w:r>
    </w:p>
    <w:p>
      <w:pPr>
        <w:pStyle w:val="ListBullet"/>
      </w:pPr>
      <w:r>
        <w:t>Reproducibility</w:t>
      </w:r>
    </w:p>
    <w:p>
      <w:pPr>
        <w:pStyle w:val="ListBullet"/>
      </w:pPr>
      <w:r>
        <w:t>Assurance evidence completeness</w:t>
      </w:r>
    </w:p>
    <w:p>
      <w:pPr>
        <w:pStyle w:val="Heading1"/>
      </w:pPr>
      <w:r>
        <w:t>13. Value to the G7 Ecosystem</w:t>
      </w:r>
    </w:p>
    <w:p>
      <w:r>
        <w:t>The pilot does not replace G7 guidance. It provides an experimental and decision-support environment through which organizations can operationalize selected G7-aligned practices, compare strategies and generate evidence before production changes.</w:t>
      </w:r>
    </w:p>
    <w:p>
      <w:pPr>
        <w:pStyle w:val="ListBullet"/>
      </w:pPr>
      <w:r>
        <w:t>A safe environment for experimentation.</w:t>
      </w:r>
    </w:p>
    <w:p>
      <w:pPr>
        <w:pStyle w:val="ListBullet"/>
      </w:pPr>
      <w:r>
        <w:t>A reusable CPS/digital-twin representation of complex systems.</w:t>
      </w:r>
    </w:p>
    <w:p>
      <w:pPr>
        <w:pStyle w:val="ListBullet"/>
      </w:pPr>
      <w:r>
        <w:t>A way to test migration strategies before production implementation.</w:t>
      </w:r>
    </w:p>
    <w:p>
      <w:pPr>
        <w:pStyle w:val="ListBullet"/>
      </w:pPr>
      <w:r>
        <w:t>A method combining cyber risk, PQC readiness and systems engineering.</w:t>
      </w:r>
    </w:p>
    <w:p>
      <w:pPr>
        <w:pStyle w:val="ListBullet"/>
      </w:pPr>
      <w:r>
        <w:t>Quantitative comparison of alternative migration and resource strategies.</w:t>
      </w:r>
    </w:p>
    <w:p>
      <w:pPr>
        <w:pStyle w:val="ListBullet"/>
      </w:pPr>
      <w:r>
        <w:t>Repeatable evidence for assurance and governance decisions.</w:t>
      </w:r>
    </w:p>
    <w:p>
      <w:pPr>
        <w:pStyle w:val="ListBullet"/>
      </w:pPr>
      <w:r>
        <w:t>A foundation for extending PQC readiness into critical infrastructure, defence, agriculture, transport and other domains.</w:t>
      </w:r>
    </w:p>
    <w:p>
      <w:pPr>
        <w:pStyle w:val="Heading1"/>
      </w:pPr>
      <w:r>
        <w:t>14. Broader QAI Positioning</w:t>
      </w:r>
    </w:p>
    <w:p>
      <w:r>
        <w:t>Classical computing remains appropriate for deterministic control and conventional workloads; AI/ML supports prediction and anomaly analysis; optimization addresses constrained allocation; simulation and digital twins explore future states; and quantum or quantum-inspired methods can be tested where the problem structure is appropriate.</w:t>
      </w:r>
    </w:p>
    <w:p>
      <w:r>
        <w:rPr>
          <w:b/>
        </w:rPr>
        <w:t xml:space="preserve">Core principle: </w:t>
      </w:r>
      <w:r>
        <w:t>QAI is valuable at the system level when the right computational paradigm is applied to the right part of the problem.</w:t>
      </w:r>
    </w:p>
    <w:p>
      <w:pPr>
        <w:pStyle w:val="Heading1"/>
      </w:pPr>
      <w:r>
        <w:t>15. Safety and Scope Boundaries</w:t>
      </w:r>
    </w:p>
    <w:p>
      <w:pPr>
        <w:pStyle w:val="ListBullet"/>
      </w:pPr>
      <w:r>
        <w:t>Initial attack and failure experiments use synthetic, emulated or isolated assets.</w:t>
      </w:r>
    </w:p>
    <w:p>
      <w:pPr>
        <w:pStyle w:val="ListBullet"/>
      </w:pPr>
      <w:r>
        <w:t>No experiments target external production devices or systems without explicit authorization.</w:t>
      </w:r>
    </w:p>
    <w:p>
      <w:pPr>
        <w:pStyle w:val="ListBullet"/>
      </w:pPr>
      <w:r>
        <w:t>Defence demonstrations focus on systems engineering, assurance, resilience, predictive maintenance and lifecycle decision support.</w:t>
      </w:r>
    </w:p>
    <w:p>
      <w:pPr>
        <w:pStyle w:val="ListBullet"/>
      </w:pPr>
      <w:r>
        <w:t>Security improvements are demonstrated through measurable defensive outcomes, not offensive capability.</w:t>
      </w:r>
    </w:p>
    <w:p>
      <w:pPr>
        <w:pStyle w:val="ListBullet"/>
      </w:pPr>
      <w:r>
        <w:t>Quantum advantage is reported only where experiments provide supporting evidence.</w:t>
      </w:r>
    </w:p>
    <w:p>
      <w:pPr>
        <w:pStyle w:val="ListBullet"/>
      </w:pPr>
      <w:r>
        <w:t>PQC migration, procurement, certification, visa and security-clearance requirements remain separate real-world compliance questions.</w:t>
      </w:r>
    </w:p>
    <w:p>
      <w:pPr>
        <w:pStyle w:val="Heading1"/>
      </w:pPr>
      <w:r>
        <w:t>16. Reference</w:t>
      </w:r>
    </w:p>
    <w:p>
      <w:r>
        <w:t>Canadian Centre for Cyber Security — G7 Cybersecurity Working Group statement: Preparing for post-quantum cryptography migration.</w:t>
      </w:r>
    </w:p>
    <w:p>
      <w:r>
        <w:t>https://www.cyber.gc.ca/en/news-events/g7-cybersecurity-working-group-statement-preparing-post-quantum-cryptography-migration</w:t>
      </w:r>
    </w:p>
    <w:p>
      <w:pPr>
        <w:jc w:val="center"/>
      </w:pPr>
      <w:r>
        <w:rPr>
          <w:b/>
        </w:rPr>
        <w:t>Bhadale IT — QAI Lab / QAI-PQC Reference Strategy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