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FAEP General Digital CPS Framework &amp; Factory</w:t>
      </w:r>
    </w:p>
    <w:p>
      <w:pPr>
        <w:jc w:val="center"/>
      </w:pPr>
      <w:r>
        <w:rPr>
          <w:i/>
          <w:sz w:val="22"/>
        </w:rPr>
        <w:t>Updated Strategy and Architectural Vision — September 2026</w:t>
      </w:r>
    </w:p>
    <w:p>
      <w:pPr>
        <w:jc w:val="center"/>
      </w:pPr>
      <w:r>
        <w:rPr>
          <w:b/>
        </w:rPr>
        <w:t>Framework → Factory → Client Realization → Operations → Learning → Framework Evolution</w:t>
      </w:r>
    </w:p>
    <w:p>
      <w:r>
        <w:t>This document captures the updated HoldCo workspace strategy: the General Digital CPS Framework is the enterprise abstraction and knowledge layer; the General Digital CPS Factory is the engineering production and operations layer; and validated feedback can improve the living Framework.</w:t>
      </w:r>
    </w:p>
    <w:tbl>
      <w:tblPr>
        <w:tblStyle w:val="LightShading-Accent1"/>
        <w:tblW w:type="auto" w:w="0"/>
        <w:tblLook w:firstColumn="1" w:firstRow="1" w:lastColumn="0" w:lastRow="0" w:noHBand="0" w:noVBand="1" w:val="04A0"/>
      </w:tblPr>
      <w:tblGrid>
        <w:gridCol w:w="10080"/>
      </w:tblGrid>
      <w:tr>
        <w:tc>
          <w:tcPr>
            <w:tcW w:type="dxa" w:w="10080"/>
          </w:tcPr>
          <w:p>
            <w:pPr>
              <w:jc w:val="center"/>
            </w:pPr>
            <w:r>
              <w:rPr>
                <w:b/>
              </w:rPr>
              <w:t>Framework = Enterprise Abstraction &amp; Knowledge  |  Factory = Engineering Production &amp; Operations  |  Living System = Controlled Learning &amp; Improvement</w:t>
            </w:r>
          </w:p>
        </w:tc>
      </w:tr>
    </w:tbl>
    <w:p/>
    <w:p>
      <w:pPr>
        <w:pStyle w:val="Heading1"/>
      </w:pPr>
      <w:r>
        <w:t>1. Executive Vision</w:t>
      </w:r>
    </w:p>
    <w:p>
      <w:r>
        <w:t>The General Digital CPS architecture consists of two distinct but connected capabilities. The Framework provides an enterprise-level abstraction, architecture and knowledge environment. The Factory uses that knowledge to engineer, explore, validate, deploy and operate cyber-physical systems.</w:t>
      </w:r>
    </w:p>
    <w:p>
      <w:r>
        <w:t>The Framework is not a static repository. It participates in a living feedback system in which experiments, operational observations, evidence, lessons and approved human/AI learning can improve reusable engineering knowledge and patterns.</w:t>
      </w:r>
    </w:p>
    <w:p>
      <w:pPr>
        <w:pStyle w:val="Heading1"/>
      </w:pPr>
      <w:r>
        <w:t>2. General Digital CPS Framework — Abstraction &amp; Knowledge Layer</w:t>
      </w:r>
    </w:p>
    <w:p>
      <w:r>
        <w:t>The Framework represents, organizes, relates, governs and evolves enterprise engineering and business assets.</w:t>
      </w:r>
    </w:p>
    <w:p>
      <w:pPr>
        <w:pStyle w:val="ListBullet"/>
      </w:pPr>
      <w:r>
        <w:t>Enterprise, system and reference architectures</w:t>
      </w:r>
    </w:p>
    <w:p>
      <w:pPr>
        <w:pStyle w:val="ListBullet"/>
      </w:pPr>
      <w:r>
        <w:t>Engineering designs, drawings and models</w:t>
      </w:r>
    </w:p>
    <w:p>
      <w:pPr>
        <w:pStyle w:val="ListBullet"/>
      </w:pPr>
      <w:r>
        <w:t>Functional and non-functional requirements</w:t>
      </w:r>
    </w:p>
    <w:p>
      <w:pPr>
        <w:pStyle w:val="ListBullet"/>
      </w:pPr>
      <w:r>
        <w:t>Business capabilities, processes and objectives</w:t>
      </w:r>
    </w:p>
    <w:p>
      <w:pPr>
        <w:pStyle w:val="ListBullet"/>
      </w:pPr>
      <w:r>
        <w:t>Physical/logical assets and configurations</w:t>
      </w:r>
    </w:p>
    <w:p>
      <w:pPr>
        <w:pStyle w:val="ListBullet"/>
      </w:pPr>
      <w:r>
        <w:t>Domain taxonomies, ontologies and semantic profiles</w:t>
      </w:r>
    </w:p>
    <w:p>
      <w:pPr>
        <w:pStyle w:val="ListBullet"/>
      </w:pPr>
      <w:r>
        <w:t>CPS and Digital Twin definitions</w:t>
      </w:r>
    </w:p>
    <w:p>
      <w:pPr>
        <w:pStyle w:val="ListBullet"/>
      </w:pPr>
      <w:r>
        <w:t>Workflows, scenarios and constraints</w:t>
      </w:r>
    </w:p>
    <w:p>
      <w:pPr>
        <w:pStyle w:val="ListBullet"/>
      </w:pPr>
      <w:r>
        <w:t>Economic, cost, resource, energy, risk and resilience models</w:t>
      </w:r>
    </w:p>
    <w:p>
      <w:pPr>
        <w:pStyle w:val="ListBullet"/>
      </w:pPr>
      <w:r>
        <w:t>AI, Agentic AI, optimization, quantum-inspired and QAI knowledge</w:t>
      </w:r>
    </w:p>
    <w:p>
      <w:pPr>
        <w:pStyle w:val="ListBullet"/>
      </w:pPr>
      <w:r>
        <w:t>Standards, patterns, evidence, provenance and lessons learned</w:t>
      </w:r>
    </w:p>
    <w:p>
      <w:pPr>
        <w:pStyle w:val="ListBullet"/>
      </w:pPr>
      <w:r>
        <w:t>Existing/brownfield system knowledge and modernization information</w:t>
      </w:r>
    </w:p>
    <w:p>
      <w:pPr>
        <w:pStyle w:val="Heading1"/>
      </w:pPr>
      <w:r>
        <w:t>3. General Digital CPS Factory — Engineering Production &amp; Operations</w:t>
      </w:r>
    </w:p>
    <w:p>
      <w:r>
        <w:t>The Factory is the implementation-oriented environment that consumes Framework abstractions, engineering intent and reusable knowledge.</w:t>
      </w:r>
    </w:p>
    <w:p>
      <w:pPr>
        <w:pStyle w:val="ListBullet"/>
      </w:pPr>
      <w:r>
        <w:t>System representation and CPS architecture</w:t>
      </w:r>
    </w:p>
    <w:p>
      <w:pPr>
        <w:pStyle w:val="ListBullet"/>
      </w:pPr>
      <w:r>
        <w:t>Digital Twin and virtual system realization</w:t>
      </w:r>
    </w:p>
    <w:p>
      <w:pPr>
        <w:pStyle w:val="ListBullet"/>
      </w:pPr>
      <w:r>
        <w:t>Design-space generation and exploration</w:t>
      </w:r>
    </w:p>
    <w:p>
      <w:pPr>
        <w:pStyle w:val="ListBullet"/>
      </w:pPr>
      <w:r>
        <w:t>AI and Agentic AI assisted engineering</w:t>
      </w:r>
    </w:p>
    <w:p>
      <w:pPr>
        <w:pStyle w:val="ListBullet"/>
      </w:pPr>
      <w:r>
        <w:t>Classical/HPC, quantum-inspired, hybrid QAI and quantum computational methods</w:t>
      </w:r>
    </w:p>
    <w:p>
      <w:pPr>
        <w:pStyle w:val="ListBullet"/>
      </w:pPr>
      <w:r>
        <w:t>Simulation and emulation</w:t>
      </w:r>
    </w:p>
    <w:p>
      <w:pPr>
        <w:pStyle w:val="ListBullet"/>
      </w:pPr>
      <w:r>
        <w:t>Optimization and multi-objective trade-offs</w:t>
      </w:r>
    </w:p>
    <w:p>
      <w:pPr>
        <w:pStyle w:val="ListBullet"/>
      </w:pPr>
      <w:r>
        <w:t>Candidate design/solution generation</w:t>
      </w:r>
    </w:p>
    <w:p>
      <w:pPr>
        <w:pStyle w:val="ListBullet"/>
      </w:pPr>
      <w:r>
        <w:t>Verification, validation and evidence generation</w:t>
      </w:r>
    </w:p>
    <w:p>
      <w:pPr>
        <w:pStyle w:val="ListBullet"/>
      </w:pPr>
      <w:r>
        <w:t>Controlled deployment and runtime operation</w:t>
      </w:r>
    </w:p>
    <w:p>
      <w:pPr>
        <w:pStyle w:val="ListBullet"/>
      </w:pPr>
      <w:r>
        <w:t>Observability, monitoring, fallback and rollback</w:t>
      </w:r>
    </w:p>
    <w:p>
      <w:pPr>
        <w:pStyle w:val="ListBullet"/>
      </w:pPr>
      <w:r>
        <w:t>Operational learning and improvement</w:t>
      </w:r>
    </w:p>
    <w:p>
      <w:pPr>
        <w:pStyle w:val="Heading1"/>
      </w:pPr>
      <w:r>
        <w:t>4. Framework–Factory Relationship</w:t>
      </w:r>
    </w:p>
    <w:p>
      <w:pPr>
        <w:jc w:val="center"/>
      </w:pPr>
      <w:r>
        <w:rPr>
          <w:rFonts w:ascii="Consolas" w:hAnsi="Consolas"/>
          <w:sz w:val="18"/>
        </w:rPr>
        <w:t>GENERAL DIGITAL CPS FRAMEWORK</w:t>
      </w:r>
    </w:p>
    <w:p>
      <w:pPr>
        <w:jc w:val="center"/>
      </w:pPr>
      <w:r>
        <w:rPr>
          <w:rFonts w:ascii="Consolas" w:hAnsi="Consolas"/>
          <w:sz w:val="18"/>
        </w:rPr>
        <w:t>Enterprise Abstraction • Knowledge • Architecture • Requirements • Assets • Models • Evidence</w:t>
      </w:r>
    </w:p>
    <w:p>
      <w:pPr>
        <w:jc w:val="center"/>
      </w:pPr>
      <w:r>
        <w:rPr>
          <w:rFonts w:ascii="Consolas" w:hAnsi="Consolas"/>
          <w:sz w:val="18"/>
        </w:rPr>
        <w:t>↓  Engineering intent + reusable knowledge</w:t>
      </w:r>
    </w:p>
    <w:p>
      <w:pPr>
        <w:jc w:val="center"/>
      </w:pPr>
      <w:r>
        <w:rPr>
          <w:rFonts w:ascii="Consolas" w:hAnsi="Consolas"/>
          <w:sz w:val="18"/>
        </w:rPr>
        <w:t>GENERAL DIGITAL CPS FACTORY</w:t>
      </w:r>
    </w:p>
    <w:p>
      <w:pPr>
        <w:jc w:val="center"/>
      </w:pPr>
      <w:r>
        <w:rPr>
          <w:rFonts w:ascii="Consolas" w:hAnsi="Consolas"/>
          <w:sz w:val="18"/>
        </w:rPr>
        <w:t>Engineering Production • Exploration • Simulation • Validation • Deployment • Operations</w:t>
      </w:r>
    </w:p>
    <w:p>
      <w:pPr>
        <w:jc w:val="center"/>
      </w:pPr>
      <w:r>
        <w:rPr>
          <w:rFonts w:ascii="Consolas" w:hAnsi="Consolas"/>
          <w:sz w:val="18"/>
        </w:rPr>
        <w:t>↓</w:t>
      </w:r>
    </w:p>
    <w:p>
      <w:pPr>
        <w:jc w:val="center"/>
      </w:pPr>
      <w:r>
        <w:rPr>
          <w:rFonts w:ascii="Consolas" w:hAnsi="Consolas"/>
          <w:sz w:val="18"/>
        </w:rPr>
        <w:t>CLIENT / REAL SYSTEM / CPS</w:t>
      </w:r>
    </w:p>
    <w:p>
      <w:pPr>
        <w:jc w:val="center"/>
      </w:pPr>
      <w:r>
        <w:rPr>
          <w:rFonts w:ascii="Consolas" w:hAnsi="Consolas"/>
          <w:sz w:val="18"/>
        </w:rPr>
        <w:t>↓  Observations • Results • Evidence • Lessons • Human decisions</w:t>
      </w:r>
    </w:p>
    <w:p>
      <w:pPr>
        <w:jc w:val="center"/>
      </w:pPr>
      <w:r>
        <w:rPr>
          <w:rFonts w:ascii="Consolas" w:hAnsi="Consolas"/>
          <w:sz w:val="18"/>
        </w:rPr>
        <w:t>LEARNING &amp; IMPROVEMENT</w:t>
      </w:r>
    </w:p>
    <w:p>
      <w:pPr>
        <w:jc w:val="center"/>
      </w:pPr>
      <w:r>
        <w:rPr>
          <w:rFonts w:ascii="Consolas" w:hAnsi="Consolas"/>
          <w:sz w:val="18"/>
        </w:rPr>
        <w:t>↓  Approved changes</w:t>
      </w:r>
    </w:p>
    <w:p>
      <w:pPr>
        <w:jc w:val="center"/>
      </w:pPr>
      <w:r>
        <w:rPr>
          <w:rFonts w:ascii="Consolas" w:hAnsi="Consolas"/>
          <w:sz w:val="18"/>
        </w:rPr>
        <w:t>GENERAL DIGITAL CPS FRAMEWORK EVOLUTION</w:t>
      </w:r>
    </w:p>
    <w:p>
      <w:pPr>
        <w:pStyle w:val="Heading1"/>
      </w:pPr>
      <w:r>
        <w:t>5. Framework as a Living System</w:t>
      </w:r>
    </w:p>
    <w:p>
      <w:r>
        <w:t>The controlled learning loop is:</w:t>
      </w:r>
    </w:p>
    <w:tbl>
      <w:tblPr>
        <w:tblStyle w:val="LightShading-Accent1"/>
        <w:tblW w:type="auto" w:w="0"/>
        <w:tblLook w:firstColumn="1" w:firstRow="1" w:lastColumn="0" w:lastRow="0" w:noHBand="0" w:noVBand="1" w:val="04A0"/>
      </w:tblPr>
      <w:tblGrid>
        <w:gridCol w:w="10080"/>
      </w:tblGrid>
      <w:tr>
        <w:tc>
          <w:tcPr>
            <w:tcW w:type="dxa" w:w="10080"/>
          </w:tcPr>
          <w:p>
            <w:pPr>
              <w:jc w:val="center"/>
            </w:pPr>
            <w:r>
              <w:rPr>
                <w:b/>
              </w:rPr>
              <w:t>Observe → Learn → Propose → Review → Approve → Update → Reuse</w:t>
            </w:r>
          </w:p>
        </w:tc>
      </w:tr>
    </w:tbl>
    <w:p/>
    <w:p>
      <w:pPr>
        <w:pStyle w:val="ListBullet"/>
      </w:pPr>
      <w:r>
        <w:t>AI can assist discovery, classification, pattern recognition, candidate generation and model-improvement proposals.</w:t>
      </w:r>
    </w:p>
    <w:p>
      <w:pPr>
        <w:pStyle w:val="ListBullet"/>
      </w:pPr>
      <w:r>
        <w:t>AI-generated proposals are not automatically authoritative.</w:t>
      </w:r>
    </w:p>
    <w:p>
      <w:pPr>
        <w:pStyle w:val="ListBullet"/>
      </w:pPr>
      <w:r>
        <w:t>Operational observations retain provenance and context.</w:t>
      </w:r>
    </w:p>
    <w:p>
      <w:pPr>
        <w:pStyle w:val="ListBullet"/>
      </w:pPr>
      <w:r>
        <w:t>Validated findings and negative findings can become reusable Framework knowledge.</w:t>
      </w:r>
    </w:p>
    <w:p>
      <w:pPr>
        <w:pStyle w:val="ListBullet"/>
      </w:pPr>
      <w:r>
        <w:t>Changes to authoritative knowledge are versioned, reviewable and traceable.</w:t>
      </w:r>
    </w:p>
    <w:p>
      <w:pPr>
        <w:pStyle w:val="Heading1"/>
      </w:pPr>
      <w:r>
        <w:t>6. Client Realization is a Factory Capability</w:t>
      </w:r>
    </w:p>
    <w:p>
      <w:r>
        <w:t>The Factory contains configurable realization pathways. Clients can select the depth and sequence appropriate to their maturity, objectives, risk, existing assets and deployment context.</w:t>
      </w:r>
    </w:p>
    <w:p>
      <w:pPr>
        <w:pStyle w:val="Heading1"/>
      </w:pPr>
      <w:r>
        <w:t>7. Recommended 12-Phase Engineering Lifecycle</w:t>
      </w:r>
    </w:p>
    <w:p>
      <w:r>
        <w:t>The Digital Farm pilot's 12 phases become a reusable recommended lifecycle inside the Factory. They are not mandatory gates for every engagement.</w:t>
      </w:r>
    </w:p>
    <w:tbl>
      <w:tblPr>
        <w:tblStyle w:val="LightShading-Accent1"/>
        <w:tblW w:type="auto" w:w="0"/>
        <w:tblLook w:firstColumn="1" w:firstRow="1" w:lastColumn="0" w:lastRow="0" w:noHBand="0" w:noVBand="1" w:val="04A0"/>
      </w:tblPr>
      <w:tblGrid>
        <w:gridCol w:w="5040"/>
        <w:gridCol w:w="5040"/>
      </w:tblGrid>
      <w:tr>
        <w:tc>
          <w:tcPr>
            <w:tcW w:type="dxa" w:w="5040"/>
          </w:tcPr>
          <w:p>
            <w:r>
              <w:t>Phase</w:t>
            </w:r>
          </w:p>
        </w:tc>
        <w:tc>
          <w:tcPr>
            <w:tcW w:type="dxa" w:w="5040"/>
          </w:tcPr>
          <w:p>
            <w:r>
              <w:t>Recommended purpose</w:t>
            </w:r>
          </w:p>
        </w:tc>
      </w:tr>
      <w:tr>
        <w:tc>
          <w:tcPr>
            <w:tcW w:type="dxa" w:w="5040"/>
          </w:tcPr>
          <w:p>
            <w:r>
              <w:t>1</w:t>
            </w:r>
          </w:p>
        </w:tc>
        <w:tc>
          <w:tcPr>
            <w:tcW w:type="dxa" w:w="5040"/>
          </w:tcPr>
          <w:p>
            <w:r>
              <w:t>Management System / Implementation Readiness</w:t>
            </w:r>
          </w:p>
        </w:tc>
      </w:tr>
      <w:tr>
        <w:tc>
          <w:tcPr>
            <w:tcW w:type="dxa" w:w="5040"/>
          </w:tcPr>
          <w:p>
            <w:r>
              <w:t>2</w:t>
            </w:r>
          </w:p>
        </w:tc>
        <w:tc>
          <w:tcPr>
            <w:tcW w:type="dxa" w:w="5040"/>
          </w:tcPr>
          <w:p>
            <w:r>
              <w:t>Asset Virtualization / Foundation</w:t>
            </w:r>
          </w:p>
        </w:tc>
      </w:tr>
      <w:tr>
        <w:tc>
          <w:tcPr>
            <w:tcW w:type="dxa" w:w="5040"/>
          </w:tcPr>
          <w:p>
            <w:r>
              <w:t>3</w:t>
            </w:r>
          </w:p>
        </w:tc>
        <w:tc>
          <w:tcPr>
            <w:tcW w:type="dxa" w:w="5040"/>
          </w:tcPr>
          <w:p>
            <w:r>
              <w:t>CPS Workflow Definition</w:t>
            </w:r>
          </w:p>
        </w:tc>
      </w:tr>
      <w:tr>
        <w:tc>
          <w:tcPr>
            <w:tcW w:type="dxa" w:w="5040"/>
          </w:tcPr>
          <w:p>
            <w:r>
              <w:t>4</w:t>
            </w:r>
          </w:p>
        </w:tc>
        <w:tc>
          <w:tcPr>
            <w:tcW w:type="dxa" w:w="5040"/>
          </w:tcPr>
          <w:p>
            <w:r>
              <w:t>Open-Loop Simulation</w:t>
            </w:r>
          </w:p>
        </w:tc>
      </w:tr>
      <w:tr>
        <w:tc>
          <w:tcPr>
            <w:tcW w:type="dxa" w:w="5040"/>
          </w:tcPr>
          <w:p>
            <w:r>
              <w:t>5</w:t>
            </w:r>
          </w:p>
        </w:tc>
        <w:tc>
          <w:tcPr>
            <w:tcW w:type="dxa" w:w="5040"/>
          </w:tcPr>
          <w:p>
            <w:r>
              <w:t>Closed-Loop CPS Simulation</w:t>
            </w:r>
          </w:p>
        </w:tc>
      </w:tr>
      <w:tr>
        <w:tc>
          <w:tcPr>
            <w:tcW w:type="dxa" w:w="5040"/>
          </w:tcPr>
          <w:p>
            <w:r>
              <w:t>6</w:t>
            </w:r>
          </w:p>
        </w:tc>
        <w:tc>
          <w:tcPr>
            <w:tcW w:type="dxa" w:w="5040"/>
          </w:tcPr>
          <w:p>
            <w:r>
              <w:t>QAI Advantage &amp; Value Evaluation</w:t>
            </w:r>
          </w:p>
        </w:tc>
      </w:tr>
      <w:tr>
        <w:tc>
          <w:tcPr>
            <w:tcW w:type="dxa" w:w="5040"/>
          </w:tcPr>
          <w:p>
            <w:r>
              <w:t>7</w:t>
            </w:r>
          </w:p>
        </w:tc>
        <w:tc>
          <w:tcPr>
            <w:tcW w:type="dxa" w:w="5040"/>
          </w:tcPr>
          <w:p>
            <w:r>
              <w:t>Model Validation &amp; Promotion</w:t>
            </w:r>
          </w:p>
        </w:tc>
      </w:tr>
      <w:tr>
        <w:tc>
          <w:tcPr>
            <w:tcW w:type="dxa" w:w="5040"/>
          </w:tcPr>
          <w:p>
            <w:r>
              <w:t>8</w:t>
            </w:r>
          </w:p>
        </w:tc>
        <w:tc>
          <w:tcPr>
            <w:tcW w:type="dxa" w:w="5040"/>
          </w:tcPr>
          <w:p>
            <w:r>
              <w:t>Digital Twin Production Transition</w:t>
            </w:r>
          </w:p>
        </w:tc>
      </w:tr>
      <w:tr>
        <w:tc>
          <w:tcPr>
            <w:tcW w:type="dxa" w:w="5040"/>
          </w:tcPr>
          <w:p>
            <w:r>
              <w:t>9</w:t>
            </w:r>
          </w:p>
        </w:tc>
        <w:tc>
          <w:tcPr>
            <w:tcW w:type="dxa" w:w="5040"/>
          </w:tcPr>
          <w:p>
            <w:r>
              <w:t>QAI Lab Project Integration</w:t>
            </w:r>
          </w:p>
        </w:tc>
      </w:tr>
      <w:tr>
        <w:tc>
          <w:tcPr>
            <w:tcW w:type="dxa" w:w="5040"/>
          </w:tcPr>
          <w:p>
            <w:r>
              <w:t>10</w:t>
            </w:r>
          </w:p>
        </w:tc>
        <w:tc>
          <w:tcPr>
            <w:tcW w:type="dxa" w:w="5040"/>
          </w:tcPr>
          <w:p>
            <w:r>
              <w:t>Fabrics / Slices</w:t>
            </w:r>
          </w:p>
        </w:tc>
      </w:tr>
      <w:tr>
        <w:tc>
          <w:tcPr>
            <w:tcW w:type="dxa" w:w="5040"/>
          </w:tcPr>
          <w:p>
            <w:r>
              <w:t>11</w:t>
            </w:r>
          </w:p>
        </w:tc>
        <w:tc>
          <w:tcPr>
            <w:tcW w:type="dxa" w:w="5040"/>
          </w:tcPr>
          <w:p>
            <w:r>
              <w:t>FAEP / Platform Integration</w:t>
            </w:r>
          </w:p>
        </w:tc>
      </w:tr>
      <w:tr>
        <w:tc>
          <w:tcPr>
            <w:tcW w:type="dxa" w:w="5040"/>
          </w:tcPr>
          <w:p>
            <w:r>
              <w:t>12</w:t>
            </w:r>
          </w:p>
        </w:tc>
        <w:tc>
          <w:tcPr>
            <w:tcW w:type="dxa" w:w="5040"/>
          </w:tcPr>
          <w:p>
            <w:r>
              <w:t>Operations / Commercialization</w:t>
            </w:r>
          </w:p>
        </w:tc>
      </w:tr>
    </w:tbl>
    <w:p>
      <w:r>
        <w:t>A mature brownfield engagement may enter after early phases have already been satisfied. A greenfield engagement may use more of the lifecycle. The Factory selects what is justified by the engagement.</w:t>
      </w:r>
    </w:p>
    <w:p>
      <w:pPr>
        <w:pStyle w:val="Heading1"/>
      </w:pPr>
      <w:r>
        <w:t>8. Five Client Realization / Adoption Stages</w:t>
      </w:r>
    </w:p>
    <w:tbl>
      <w:tblPr>
        <w:tblStyle w:val="LightShading-Accent1"/>
        <w:tblW w:type="auto" w:w="0"/>
        <w:tblLook w:firstColumn="1" w:firstRow="1" w:lastColumn="0" w:lastRow="0" w:noHBand="0" w:noVBand="1" w:val="04A0"/>
      </w:tblPr>
      <w:tblGrid>
        <w:gridCol w:w="5040"/>
        <w:gridCol w:w="5040"/>
      </w:tblGrid>
      <w:tr>
        <w:tc>
          <w:tcPr>
            <w:tcW w:type="dxa" w:w="5040"/>
          </w:tcPr>
          <w:p>
            <w:r>
              <w:t>Stage</w:t>
            </w:r>
          </w:p>
        </w:tc>
        <w:tc>
          <w:tcPr>
            <w:tcW w:type="dxa" w:w="5040"/>
          </w:tcPr>
          <w:p>
            <w:r>
              <w:t>Client objective</w:t>
            </w:r>
          </w:p>
        </w:tc>
      </w:tr>
      <w:tr>
        <w:tc>
          <w:tcPr>
            <w:tcW w:type="dxa" w:w="5040"/>
          </w:tcPr>
          <w:p>
            <w:r>
              <w:t>Stage 1 — See It</w:t>
            </w:r>
          </w:p>
        </w:tc>
        <w:tc>
          <w:tcPr>
            <w:tcW w:type="dxa" w:w="5040"/>
          </w:tcPr>
          <w:p>
            <w:r>
              <w:t>Virtual/synthetic demonstration</w:t>
            </w:r>
          </w:p>
        </w:tc>
      </w:tr>
      <w:tr>
        <w:tc>
          <w:tcPr>
            <w:tcW w:type="dxa" w:w="5040"/>
          </w:tcPr>
          <w:p>
            <w:r>
              <w:t>Stage 2 — Run It</w:t>
            </w:r>
          </w:p>
        </w:tc>
        <w:tc>
          <w:tcPr>
            <w:tcW w:type="dxa" w:w="5040"/>
          </w:tcPr>
          <w:p>
            <w:r>
              <w:t>Synthetic CPS behaviour with emulated assets</w:t>
            </w:r>
          </w:p>
        </w:tc>
      </w:tr>
      <w:tr>
        <w:tc>
          <w:tcPr>
            <w:tcW w:type="dxa" w:w="5040"/>
          </w:tcPr>
          <w:p>
            <w:r>
              <w:t>Stage 3 — Validate It</w:t>
            </w:r>
          </w:p>
        </w:tc>
        <w:tc>
          <w:tcPr>
            <w:tcW w:type="dxa" w:w="5040"/>
          </w:tcPr>
          <w:p>
            <w:r>
              <w:t>Representative or historical real data with controlled/emulated devices</w:t>
            </w:r>
          </w:p>
        </w:tc>
      </w:tr>
      <w:tr>
        <w:tc>
          <w:tcPr>
            <w:tcW w:type="dxa" w:w="5040"/>
          </w:tcPr>
          <w:p>
            <w:r>
              <w:t>Stage 4 — Deploy It</w:t>
            </w:r>
          </w:p>
        </w:tc>
        <w:tc>
          <w:tcPr>
            <w:tcW w:type="dxa" w:w="5040"/>
          </w:tcPr>
          <w:p>
            <w:r>
              <w:t>Selected real data/devices under controlled, supervised operation</w:t>
            </w:r>
          </w:p>
        </w:tc>
      </w:tr>
      <w:tr>
        <w:tc>
          <w:tcPr>
            <w:tcW w:type="dxa" w:w="5040"/>
          </w:tcPr>
          <w:p>
            <w:r>
              <w:t>Stage 5 — Scale It</w:t>
            </w:r>
          </w:p>
        </w:tc>
        <w:tc>
          <w:tcPr>
            <w:tcW w:type="dxa" w:w="5040"/>
          </w:tcPr>
          <w:p>
            <w:r>
              <w:t>Broader live physical CPS and scalable/distributed operation</w:t>
            </w:r>
          </w:p>
        </w:tc>
      </w:tr>
    </w:tbl>
    <w:p>
      <w:r>
        <w:t>The five stages are client-facing and intentionally distinct from the 12 engineering phases.</w:t>
      </w:r>
    </w:p>
    <w:p>
      <w:pPr>
        <w:pStyle w:val="Heading1"/>
      </w:pPr>
      <w:r>
        <w:t>9. Greenfield and Brownfield Engagements</w:t>
      </w:r>
    </w:p>
    <w:p>
      <w:r>
        <w:t>Greenfield:</w:t>
      </w:r>
    </w:p>
    <w:p>
      <w:pPr>
        <w:jc w:val="center"/>
      </w:pPr>
      <w:r>
        <w:rPr>
          <w:rFonts w:ascii="Consolas" w:hAnsi="Consolas"/>
          <w:sz w:val="18"/>
        </w:rPr>
        <w:t>Client Requirements → General Framework → General Factory → Selected Phases/Stages → New CPS/System</w:t>
      </w:r>
    </w:p>
    <w:p>
      <w:r>
        <w:t>Brownfield:</w:t>
      </w:r>
    </w:p>
    <w:p>
      <w:pPr>
        <w:jc w:val="center"/>
      </w:pPr>
      <w:r>
        <w:rPr>
          <w:rFonts w:ascii="Consolas" w:hAnsi="Consolas"/>
          <w:sz w:val="18"/>
        </w:rPr>
        <w:t>Existing Client Assets → Framework Representation → Assessment / Reverse Engineering → Modernization → General Factory → Selected Phases/Stages → Enhanced CPS/System</w:t>
      </w:r>
    </w:p>
    <w:p>
      <w:r>
        <w:t>Brownfield modernization is therefore a first-class Factory pathway.</w:t>
      </w:r>
    </w:p>
    <w:p>
      <w:pPr>
        <w:pStyle w:val="Heading1"/>
      </w:pPr>
      <w:r>
        <w:t>10. Client Participation Model</w:t>
      </w:r>
    </w:p>
    <w:p>
      <w:r>
        <w:t>Clients are participants rather than merely consumers. They may participate selectively across both layers.</w:t>
      </w:r>
    </w:p>
    <w:p>
      <w:r>
        <w:t>Framework participation may include:</w:t>
      </w:r>
    </w:p>
    <w:p>
      <w:pPr>
        <w:pStyle w:val="ListBullet"/>
      </w:pPr>
      <w:r>
        <w:t>Requirements and business objectives</w:t>
      </w:r>
    </w:p>
    <w:p>
      <w:pPr>
        <w:pStyle w:val="ListBullet"/>
      </w:pPr>
      <w:r>
        <w:t>Architecture and engineering drawings</w:t>
      </w:r>
    </w:p>
    <w:p>
      <w:pPr>
        <w:pStyle w:val="ListBullet"/>
      </w:pPr>
      <w:r>
        <w:t>Domain knowledge and constraints</w:t>
      </w:r>
    </w:p>
    <w:p>
      <w:pPr>
        <w:pStyle w:val="ListBullet"/>
      </w:pPr>
      <w:r>
        <w:t>Existing assets, models and data</w:t>
      </w:r>
    </w:p>
    <w:p>
      <w:pPr>
        <w:pStyle w:val="ListBullet"/>
      </w:pPr>
      <w:r>
        <w:t>Standards, policies and economic objectives</w:t>
      </w:r>
    </w:p>
    <w:p>
      <w:pPr>
        <w:pStyle w:val="ListBullet"/>
      </w:pPr>
      <w:r>
        <w:t>Engineering preferences and design intent</w:t>
      </w:r>
    </w:p>
    <w:p>
      <w:r>
        <w:t>Factory participation may include:</w:t>
      </w:r>
    </w:p>
    <w:p>
      <w:pPr>
        <w:pStyle w:val="ListBullet"/>
      </w:pPr>
      <w:r>
        <w:t>Architecture/model workshops</w:t>
      </w:r>
    </w:p>
    <w:p>
      <w:pPr>
        <w:pStyle w:val="ListBullet"/>
      </w:pPr>
      <w:r>
        <w:t>Digital Twin and CPS modelling</w:t>
      </w:r>
    </w:p>
    <w:p>
      <w:pPr>
        <w:pStyle w:val="ListBullet"/>
      </w:pPr>
      <w:r>
        <w:t>Scenario and experiment definition</w:t>
      </w:r>
    </w:p>
    <w:p>
      <w:pPr>
        <w:pStyle w:val="ListBullet"/>
      </w:pPr>
      <w:r>
        <w:t>Design-space exploration</w:t>
      </w:r>
    </w:p>
    <w:p>
      <w:pPr>
        <w:pStyle w:val="ListBullet"/>
      </w:pPr>
      <w:r>
        <w:t>AI-assisted engineering</w:t>
      </w:r>
    </w:p>
    <w:p>
      <w:pPr>
        <w:pStyle w:val="ListBullet"/>
      </w:pPr>
      <w:r>
        <w:t>Simulation and emulation</w:t>
      </w:r>
    </w:p>
    <w:p>
      <w:pPr>
        <w:pStyle w:val="ListBullet"/>
      </w:pPr>
      <w:r>
        <w:t>Optimization and trade-off analysis</w:t>
      </w:r>
    </w:p>
    <w:p>
      <w:pPr>
        <w:pStyle w:val="ListBullet"/>
      </w:pPr>
      <w:r>
        <w:t>Candidate evaluation and validation</w:t>
      </w:r>
    </w:p>
    <w:p>
      <w:pPr>
        <w:pStyle w:val="ListBullet"/>
      </w:pPr>
      <w:r>
        <w:t>Human approval and deployment planning</w:t>
      </w:r>
    </w:p>
    <w:p>
      <w:pPr>
        <w:pStyle w:val="ListBullet"/>
      </w:pPr>
      <w:r>
        <w:t>Operational review and learning</w:t>
      </w:r>
    </w:p>
    <w:p>
      <w:pPr>
        <w:pStyle w:val="Heading1"/>
      </w:pPr>
      <w:r>
        <w:t>11. Human + AI Symbiotic Engineering</w:t>
      </w:r>
    </w:p>
    <w:p>
      <w:r>
        <w:t>The intended symbiotic model is human augmentation and human-in-the-loop engineering.</w:t>
      </w:r>
    </w:p>
    <w:p>
      <w:pPr>
        <w:jc w:val="center"/>
      </w:pPr>
      <w:r>
        <w:rPr>
          <w:rFonts w:ascii="Consolas" w:hAnsi="Consolas"/>
          <w:sz w:val="18"/>
        </w:rPr>
        <w:t>Human Intent → Requirements + Constraints + Domain Knowledge</w:t>
      </w:r>
    </w:p>
    <w:p>
      <w:pPr>
        <w:jc w:val="center"/>
      </w:pPr>
      <w:r>
        <w:rPr>
          <w:rFonts w:ascii="Consolas" w:hAnsi="Consolas"/>
          <w:sz w:val="18"/>
        </w:rPr>
        <w:t>↓</w:t>
      </w:r>
    </w:p>
    <w:p>
      <w:pPr>
        <w:jc w:val="center"/>
      </w:pPr>
      <w:r>
        <w:rPr>
          <w:rFonts w:ascii="Consolas" w:hAnsi="Consolas"/>
          <w:sz w:val="18"/>
        </w:rPr>
        <w:t>AI / Agentic AI / Optimization / QAI Exploration</w:t>
      </w:r>
    </w:p>
    <w:p>
      <w:pPr>
        <w:jc w:val="center"/>
      </w:pPr>
      <w:r>
        <w:rPr>
          <w:rFonts w:ascii="Consolas" w:hAnsi="Consolas"/>
          <w:sz w:val="18"/>
        </w:rPr>
        <w:t>↓</w:t>
      </w:r>
    </w:p>
    <w:p>
      <w:pPr>
        <w:jc w:val="center"/>
      </w:pPr>
      <w:r>
        <w:rPr>
          <w:rFonts w:ascii="Consolas" w:hAnsi="Consolas"/>
          <w:sz w:val="18"/>
        </w:rPr>
        <w:t>Candidate Designs / Solutions</w:t>
      </w:r>
    </w:p>
    <w:p>
      <w:pPr>
        <w:jc w:val="center"/>
      </w:pPr>
      <w:r>
        <w:rPr>
          <w:rFonts w:ascii="Consolas" w:hAnsi="Consolas"/>
          <w:sz w:val="18"/>
        </w:rPr>
        <w:t>↓</w:t>
      </w:r>
    </w:p>
    <w:p>
      <w:pPr>
        <w:jc w:val="center"/>
      </w:pPr>
      <w:r>
        <w:rPr>
          <w:rFonts w:ascii="Consolas" w:hAnsi="Consolas"/>
          <w:sz w:val="18"/>
        </w:rPr>
        <w:t>Simulation + Trade-off Analysis</w:t>
      </w:r>
    </w:p>
    <w:p>
      <w:pPr>
        <w:jc w:val="center"/>
      </w:pPr>
      <w:r>
        <w:rPr>
          <w:rFonts w:ascii="Consolas" w:hAnsi="Consolas"/>
          <w:sz w:val="18"/>
        </w:rPr>
        <w:t>↓</w:t>
      </w:r>
    </w:p>
    <w:p>
      <w:pPr>
        <w:jc w:val="center"/>
      </w:pPr>
      <w:r>
        <w:rPr>
          <w:rFonts w:ascii="Consolas" w:hAnsi="Consolas"/>
          <w:sz w:val="18"/>
        </w:rPr>
        <w:t>Human Review / Validation / Approval</w:t>
      </w:r>
    </w:p>
    <w:p>
      <w:pPr>
        <w:jc w:val="center"/>
      </w:pPr>
      <w:r>
        <w:rPr>
          <w:rFonts w:ascii="Consolas" w:hAnsi="Consolas"/>
          <w:sz w:val="18"/>
        </w:rPr>
        <w:t>↓</w:t>
      </w:r>
    </w:p>
    <w:p>
      <w:pPr>
        <w:jc w:val="center"/>
      </w:pPr>
      <w:r>
        <w:rPr>
          <w:rFonts w:ascii="Consolas" w:hAnsi="Consolas"/>
          <w:sz w:val="18"/>
        </w:rPr>
        <w:t>Implementation / Deployment</w:t>
      </w:r>
    </w:p>
    <w:p>
      <w:pPr>
        <w:jc w:val="center"/>
      </w:pPr>
      <w:r>
        <w:rPr>
          <w:rFonts w:ascii="Consolas" w:hAnsi="Consolas"/>
          <w:sz w:val="18"/>
        </w:rPr>
        <w:t>↓</w:t>
      </w:r>
    </w:p>
    <w:p>
      <w:pPr>
        <w:jc w:val="center"/>
      </w:pPr>
      <w:r>
        <w:rPr>
          <w:rFonts w:ascii="Consolas" w:hAnsi="Consolas"/>
          <w:sz w:val="18"/>
        </w:rPr>
        <w:t>Operational Feedback</w:t>
      </w:r>
    </w:p>
    <w:p>
      <w:pPr>
        <w:pStyle w:val="Heading1"/>
      </w:pPr>
      <w:r>
        <w:t>12. Computing and Solver Capability Categories</w:t>
      </w:r>
    </w:p>
    <w:p>
      <w:r>
        <w:t>Classical AI, Agentic AI, quantum-inspired AI, Hybrid QAI, pure quantum computation and FTQC are execution/solver capability categories, not rigid architectural layers.</w:t>
      </w:r>
    </w:p>
    <w:p>
      <w:pPr>
        <w:jc w:val="center"/>
      </w:pPr>
      <w:r>
        <w:rPr>
          <w:rFonts w:ascii="Consolas" w:hAnsi="Consolas"/>
          <w:sz w:val="18"/>
        </w:rPr>
        <w:t>Common Problem Representation → Classical/HPC Baseline → AI/Agentic AI → Quantum-Inspired → Hybrid QAI → Quantum Backend → FTQC where available → Compare / Validate / Evidence / Advantage Gate</w:t>
      </w:r>
    </w:p>
    <w:p>
      <w:r>
        <w:t>No quantum advantage is assumed; computational methods are selected and evaluated against the problem and evidence.</w:t>
      </w:r>
    </w:p>
    <w:p>
      <w:pPr>
        <w:pStyle w:val="Heading1"/>
      </w:pPr>
      <w:r>
        <w:t>13. Digital Twin and CPS Position</w:t>
      </w:r>
    </w:p>
    <w:p>
      <w:r>
        <w:t>Digital Twin is a core Factory capability, but it is not the entire Factory. The Factory can represent systems, explore alternatives, simulate/emulate behaviour, evaluate trade-offs and support deployment and operations.</w:t>
      </w:r>
    </w:p>
    <w:p>
      <w:pPr>
        <w:jc w:val="center"/>
      </w:pPr>
      <w:r>
        <w:rPr>
          <w:rFonts w:ascii="Consolas" w:hAnsi="Consolas"/>
          <w:sz w:val="18"/>
        </w:rPr>
        <w:t>Requirements / Drawings / Existing Assets → System Representation → CPS Architecture → Digital Twin / Virtual System → Design Space → Simulation / Emulation → Optimization / Trade-offs → Candidate System → Validation → Deployment / Operations</w:t>
      </w:r>
    </w:p>
    <w:p>
      <w:pPr>
        <w:pStyle w:val="Heading1"/>
      </w:pPr>
      <w:r>
        <w:t>14. Pilot and Post-Pilot Relationship</w:t>
      </w:r>
    </w:p>
    <w:p>
      <w:pPr>
        <w:pStyle w:val="ListBullet"/>
      </w:pPr>
      <w:r>
        <w:t>Digital Farm remains a reference implementation and evidence baseline.</w:t>
      </w:r>
    </w:p>
    <w:p>
      <w:pPr>
        <w:pStyle w:val="ListBullet"/>
      </w:pPr>
      <w:r>
        <w:t>The generalized Factory should not become runtime-dependent on the pilot.</w:t>
      </w:r>
    </w:p>
    <w:p>
      <w:pPr>
        <w:pStyle w:val="ListBullet"/>
      </w:pPr>
      <w:r>
        <w:t>Pilot assets can serve as demonstrations, reusable patterns and regression assets.</w:t>
      </w:r>
    </w:p>
    <w:p>
      <w:pPr>
        <w:pStyle w:val="ListBullet"/>
      </w:pPr>
      <w:r>
        <w:t>The 12 phases become reusable Factory lifecycle options.</w:t>
      </w:r>
    </w:p>
    <w:p>
      <w:pPr>
        <w:pStyle w:val="ListBullet"/>
      </w:pPr>
      <w:r>
        <w:t>The five stages become reusable client adoption options.</w:t>
      </w:r>
    </w:p>
    <w:p>
      <w:pPr>
        <w:pStyle w:val="ListBullet"/>
      </w:pPr>
      <w:r>
        <w:t>The generalized Factory remains domain-neutral.</w:t>
      </w:r>
    </w:p>
    <w:p>
      <w:pPr>
        <w:pStyle w:val="ListBullet"/>
      </w:pPr>
      <w:r>
        <w:t>Pilot, post-pilot, greenfield, brownfield, local, edge, cloud and air-gapped modes are realization contexts.</w:t>
      </w:r>
    </w:p>
    <w:p>
      <w:pPr>
        <w:pStyle w:val="Heading1"/>
      </w:pPr>
      <w:r>
        <w:t>15. Architectural Separation</w:t>
      </w:r>
    </w:p>
    <w:tbl>
      <w:tblPr>
        <w:tblStyle w:val="LightShading-Accent1"/>
        <w:tblW w:type="auto" w:w="0"/>
        <w:tblLook w:firstColumn="1" w:firstRow="1" w:lastColumn="0" w:lastRow="0" w:noHBand="0" w:noVBand="1" w:val="04A0"/>
      </w:tblPr>
      <w:tblGrid>
        <w:gridCol w:w="10080"/>
      </w:tblGrid>
      <w:tr>
        <w:tc>
          <w:tcPr>
            <w:tcW w:type="dxa" w:w="10080"/>
          </w:tcPr>
          <w:p>
            <w:pPr>
              <w:jc w:val="center"/>
            </w:pPr>
            <w:r>
              <w:rPr>
                <w:b/>
              </w:rPr>
              <w:t>Framework = Enterprise Abstraction &amp; Knowledge  |  Factory = Engineering Production &amp; Operations  |  Domain Profile = Industry Semantics  |  Client Deployment = Specific Realization</w:t>
            </w:r>
          </w:p>
        </w:tc>
      </w:tr>
    </w:tbl>
    <w:p/>
    <w:p>
      <w:pPr>
        <w:jc w:val="center"/>
      </w:pPr>
      <w:r>
        <w:rPr>
          <w:rFonts w:ascii="Consolas" w:hAnsi="Consolas"/>
          <w:sz w:val="18"/>
        </w:rPr>
        <w:t>Digital CPS Industry Framework</w:t>
      </w:r>
    </w:p>
    <w:p>
      <w:pPr>
        <w:jc w:val="center"/>
      </w:pPr>
      <w:r>
        <w:rPr>
          <w:rFonts w:ascii="Consolas" w:hAnsi="Consolas"/>
          <w:sz w:val="18"/>
        </w:rPr>
        <w:t>↓</w:t>
      </w:r>
    </w:p>
    <w:p>
      <w:pPr>
        <w:jc w:val="center"/>
      </w:pPr>
      <w:r>
        <w:rPr>
          <w:rFonts w:ascii="Consolas" w:hAnsi="Consolas"/>
          <w:sz w:val="18"/>
        </w:rPr>
        <w:t>General Digital CPS Factory</w:t>
      </w:r>
    </w:p>
    <w:p>
      <w:pPr>
        <w:jc w:val="center"/>
      </w:pPr>
      <w:r>
        <w:rPr>
          <w:rFonts w:ascii="Consolas" w:hAnsi="Consolas"/>
          <w:sz w:val="18"/>
        </w:rPr>
        <w:t>↓</w:t>
      </w:r>
    </w:p>
    <w:p>
      <w:pPr>
        <w:jc w:val="center"/>
      </w:pPr>
      <w:r>
        <w:rPr>
          <w:rFonts w:ascii="Consolas" w:hAnsi="Consolas"/>
          <w:sz w:val="18"/>
        </w:rPr>
        <w:t>Domain Profiles</w:t>
      </w:r>
    </w:p>
    <w:p>
      <w:pPr>
        <w:jc w:val="center"/>
      </w:pPr>
      <w:r>
        <w:rPr>
          <w:rFonts w:ascii="Consolas" w:hAnsi="Consolas"/>
          <w:sz w:val="18"/>
        </w:rPr>
        <w:t>↓</w:t>
      </w:r>
    </w:p>
    <w:p>
      <w:pPr>
        <w:jc w:val="center"/>
      </w:pPr>
      <w:r>
        <w:rPr>
          <w:rFonts w:ascii="Consolas" w:hAnsi="Consolas"/>
          <w:sz w:val="18"/>
        </w:rPr>
        <w:t>Agriculture • Energy • Manufacturing • Transport • Infrastructure • Other Domains</w:t>
      </w:r>
    </w:p>
    <w:p>
      <w:pPr>
        <w:jc w:val="center"/>
      </w:pPr>
      <w:r>
        <w:rPr>
          <w:rFonts w:ascii="Consolas" w:hAnsi="Consolas"/>
          <w:sz w:val="18"/>
        </w:rPr>
        <w:t>↓</w:t>
      </w:r>
    </w:p>
    <w:p>
      <w:pPr>
        <w:jc w:val="center"/>
      </w:pPr>
      <w:r>
        <w:rPr>
          <w:rFonts w:ascii="Consolas" w:hAnsi="Consolas"/>
          <w:sz w:val="18"/>
        </w:rPr>
        <w:t>Client Greenfield / Brownfield Systems</w:t>
      </w:r>
    </w:p>
    <w:p>
      <w:pPr>
        <w:pStyle w:val="Heading1"/>
      </w:pPr>
      <w:r>
        <w:t>16. HoldCo Workspace Organization</w:t>
      </w:r>
    </w:p>
    <w:p>
      <w:pPr>
        <w:pStyle w:val="ListBullet"/>
      </w:pPr>
      <w:r>
        <w:t>Framework assets: architecture, models, semantics, requirements patterns, engineering knowledge, evidence and reusable patterns.</w:t>
      </w:r>
    </w:p>
    <w:p>
      <w:pPr>
        <w:pStyle w:val="ListBullet"/>
      </w:pPr>
      <w:r>
        <w:t>Factory assets: implementation patterns, execution components, simulation/emulation, validation, deployment and operational tooling.</w:t>
      </w:r>
    </w:p>
    <w:p>
      <w:pPr>
        <w:pStyle w:val="ListBullet"/>
      </w:pPr>
      <w:r>
        <w:t>Domain assets: taxonomies, ontologies, asset classes, workflows, constraints, KPIs, scenarios and models.</w:t>
      </w:r>
    </w:p>
    <w:p>
      <w:pPr>
        <w:pStyle w:val="ListBullet"/>
      </w:pPr>
      <w:r>
        <w:t>Client assets: client-specific requirements, systems, configurations, data, models, deployment choices and evidence.</w:t>
      </w:r>
    </w:p>
    <w:p>
      <w:pPr>
        <w:pStyle w:val="ListBullet"/>
      </w:pPr>
      <w:r>
        <w:t>Lifecycle assets: optional 12-phase engineering pathway and five-stage client realization pathway.</w:t>
      </w:r>
    </w:p>
    <w:p>
      <w:pPr>
        <w:pStyle w:val="ListBullet"/>
      </w:pPr>
      <w:r>
        <w:t>Learning assets: validated findings, lessons, approved improvements, provenance and version history.</w:t>
      </w:r>
    </w:p>
    <w:p>
      <w:pPr>
        <w:pStyle w:val="Heading1"/>
      </w:pPr>
      <w:r>
        <w:t>17. Core Architectural Principles</w:t>
      </w:r>
    </w:p>
    <w:p>
      <w:pPr>
        <w:pStyle w:val="ListNumber"/>
      </w:pPr>
      <w:r>
        <w:t>Framework before implementation: establish abstraction and knowledge context.</w:t>
      </w:r>
    </w:p>
    <w:p>
      <w:pPr>
        <w:pStyle w:val="ListNumber"/>
      </w:pPr>
      <w:r>
        <w:t>Factory uses the Framework: engineering production consumes authoritative requirements, models and constraints.</w:t>
      </w:r>
    </w:p>
    <w:p>
      <w:pPr>
        <w:pStyle w:val="ListNumber"/>
      </w:pPr>
      <w:r>
        <w:t>One architecture, multiple realization levels: virtual, emulated and physical components can progressively replace one another.</w:t>
      </w:r>
    </w:p>
    <w:p>
      <w:pPr>
        <w:pStyle w:val="ListNumber"/>
      </w:pPr>
      <w:r>
        <w:t>Greenfield and brownfield are first-class pathways.</w:t>
      </w:r>
    </w:p>
    <w:p>
      <w:pPr>
        <w:pStyle w:val="ListNumber"/>
      </w:pPr>
      <w:r>
        <w:t>12 phases are recommended, not mandatory.</w:t>
      </w:r>
    </w:p>
    <w:p>
      <w:pPr>
        <w:pStyle w:val="ListNumber"/>
      </w:pPr>
      <w:r>
        <w:t>5 stages are client-facing choices, not rigid engineering gates.</w:t>
      </w:r>
    </w:p>
    <w:p>
      <w:pPr>
        <w:pStyle w:val="ListNumber"/>
      </w:pPr>
      <w:r>
        <w:t>Clients can participate in selected Framework and Factory activities.</w:t>
      </w:r>
    </w:p>
    <w:p>
      <w:pPr>
        <w:pStyle w:val="ListNumber"/>
      </w:pPr>
      <w:r>
        <w:t>Human authority remains explicit for consequential engineering and governance decisions.</w:t>
      </w:r>
    </w:p>
    <w:p>
      <w:pPr>
        <w:pStyle w:val="ListNumber"/>
      </w:pPr>
      <w:r>
        <w:t>AI augments engineering; it does not automatically redefine authoritative enterprise knowledge.</w:t>
      </w:r>
    </w:p>
    <w:p>
      <w:pPr>
        <w:pStyle w:val="ListNumber"/>
      </w:pPr>
      <w:r>
        <w:t>Evidence and provenance accompany learning and model evolution.</w:t>
      </w:r>
    </w:p>
    <w:p>
      <w:pPr>
        <w:pStyle w:val="ListNumber"/>
      </w:pPr>
      <w:r>
        <w:t>Classical and QAI methods are evaluated fairly against a common problem representation.</w:t>
      </w:r>
    </w:p>
    <w:p>
      <w:pPr>
        <w:pStyle w:val="ListNumber"/>
      </w:pPr>
      <w:r>
        <w:t>Technology and vendor choices remain implementation decisions, not Framework constraints.</w:t>
      </w:r>
    </w:p>
    <w:p>
      <w:pPr>
        <w:pStyle w:val="Heading1"/>
      </w:pPr>
      <w:r>
        <w:t>18. Updated Master Lifecycle</w:t>
      </w:r>
    </w:p>
    <w:tbl>
      <w:tblPr>
        <w:tblStyle w:val="LightShading-Accent1"/>
        <w:tblW w:type="auto" w:w="0"/>
        <w:tblLook w:firstColumn="1" w:firstRow="1" w:lastColumn="0" w:lastRow="0" w:noHBand="0" w:noVBand="1" w:val="04A0"/>
      </w:tblPr>
      <w:tblGrid>
        <w:gridCol w:w="10080"/>
      </w:tblGrid>
      <w:tr>
        <w:tc>
          <w:tcPr>
            <w:tcW w:type="dxa" w:w="10080"/>
          </w:tcPr>
          <w:p>
            <w:pPr>
              <w:jc w:val="center"/>
            </w:pPr>
            <w:r>
              <w:rPr>
                <w:b/>
              </w:rPr>
              <w:t>Define → Represent → Virtualize → Emulate → Simulate → Explore → Compare → Validate → Promote → Transition → Operate → Observe → Learn → Revalidate → Improve → Scale</w:t>
            </w:r>
          </w:p>
        </w:tc>
      </w:tr>
    </w:tbl>
    <w:p/>
    <w:p>
      <w:r>
        <w:t>The 12 phases provide the detailed recommended engineering path; the five stages provide the simpler client-facing realization view.</w:t>
      </w:r>
    </w:p>
    <w:p>
      <w:pPr>
        <w:pStyle w:val="Heading1"/>
      </w:pPr>
      <w:r>
        <w:t>19. Target Future Capability</w:t>
      </w:r>
    </w:p>
    <w:p>
      <w:r>
        <w:t>The General Digital CPS Factory is envisioned as a provider-neutral, domain-configurable engineering environment that transforms requirements, engineering knowledge, existing assets and domain semantics into virtual system representations, explores large solution spaces using appropriate computational methods, evaluates alternatives through simulation/emulation and Digital Twins, and keeps human engineers in control of trade-offs, validation and deployment.</w:t>
      </w:r>
    </w:p>
    <w:p>
      <w:r>
        <w:t>Its scope is therefore broader than a Digital Twin platform: it is an engineering design, exploration, validation, production and operations environment connected to a living enterprise knowledge framework.</w:t>
      </w:r>
    </w:p>
    <w:p>
      <w:pPr>
        <w:pStyle w:val="Heading1"/>
      </w:pPr>
      <w:r>
        <w:t>20. Immediate HoldCo Workspace Direction</w:t>
      </w:r>
    </w:p>
    <w:p>
      <w:pPr>
        <w:pStyle w:val="ListNumber"/>
      </w:pPr>
      <w:r>
        <w:t>Complete pilot Phases 10–12 at the planned minimum-evidence/high-level scope.</w:t>
      </w:r>
    </w:p>
    <w:p>
      <w:pPr>
        <w:pStyle w:val="ListNumber"/>
      </w:pPr>
      <w:r>
        <w:t>Freeze the pilot as a reference implementation and evidence baseline.</w:t>
      </w:r>
    </w:p>
    <w:p>
      <w:pPr>
        <w:pStyle w:val="ListNumber"/>
      </w:pPr>
      <w:r>
        <w:t>Create the separate Digital CPS Industry Framework abstraction area.</w:t>
      </w:r>
    </w:p>
    <w:p>
      <w:pPr>
        <w:pStyle w:val="ListNumber"/>
      </w:pPr>
      <w:r>
        <w:t>Create the General Digital CPS Factory implementation area.</w:t>
      </w:r>
    </w:p>
    <w:p>
      <w:pPr>
        <w:pStyle w:val="ListNumber"/>
      </w:pPr>
      <w:r>
        <w:t>Extract reusable pilot assets without making the generalized Factory runtime-dependent on the pilot.</w:t>
      </w:r>
    </w:p>
    <w:p>
      <w:pPr>
        <w:pStyle w:val="ListNumber"/>
      </w:pPr>
      <w:r>
        <w:t>Define domain-profile boundaries; Agriculture is the first reference domain, not the definition of the framework.</w:t>
      </w:r>
    </w:p>
    <w:p>
      <w:pPr>
        <w:pStyle w:val="ListNumber"/>
      </w:pPr>
      <w:r>
        <w:t>Carry the optional 12 phases and five stages into the Factory as configurable engagement/realization capabilities.</w:t>
      </w:r>
    </w:p>
    <w:p>
      <w:pPr>
        <w:pStyle w:val="ListNumber"/>
      </w:pPr>
      <w:r>
        <w:t>Define greenfield and brownfield entry patterns.</w:t>
      </w:r>
    </w:p>
    <w:p>
      <w:pPr>
        <w:pStyle w:val="ListNumber"/>
      </w:pPr>
      <w:r>
        <w:t>Define client participation points across Framework and Factory activities.</w:t>
      </w:r>
    </w:p>
    <w:p>
      <w:pPr>
        <w:pStyle w:val="ListNumber"/>
      </w:pPr>
      <w:r>
        <w:t>Establish the controlled learning loop from operations/evidence back into Framework improvement.</w:t>
      </w:r>
    </w:p>
    <w:p>
      <w:pPr>
        <w:pStyle w:val="Heading1"/>
      </w:pPr>
      <w:r>
        <w:t>21. Final Strategic Definition</w:t>
      </w:r>
    </w:p>
    <w:tbl>
      <w:tblPr>
        <w:tblStyle w:val="LightShading-Accent1"/>
        <w:tblW w:type="auto" w:w="0"/>
        <w:tblLook w:firstColumn="1" w:firstRow="1" w:lastColumn="0" w:lastRow="0" w:noHBand="0" w:noVBand="1" w:val="04A0"/>
      </w:tblPr>
      <w:tblGrid>
        <w:gridCol w:w="10080"/>
      </w:tblGrid>
      <w:tr>
        <w:tc>
          <w:tcPr>
            <w:tcW w:type="dxa" w:w="10080"/>
          </w:tcPr>
          <w:p>
            <w:pPr>
              <w:jc w:val="center"/>
            </w:pPr>
            <w:r>
              <w:rPr>
                <w:b/>
              </w:rPr>
              <w:t>The General Digital CPS Framework is the living enterprise abstraction and knowledge layer. The General Digital CPS Factory is the engineering production and operations layer that uses the Framework to design, explore, simulate, validate, deploy and operate CPS solutions. The Factory contains configurable 12-phase and 5-stage realization pathways for Greenfield and Brownfield engagements, while clients may participate directly in selected Framework and Factory activities. Validated operational feedback, human decisions and AI-assisted learning can improve the Framework, creating a continuously evolving engineering system.</w:t>
            </w:r>
          </w:p>
        </w:tc>
      </w:tr>
    </w:tbl>
    <w:p/>
    <w:p>
      <w:pPr>
        <w:pStyle w:val="Heading1"/>
      </w:pPr>
      <w:r>
        <w:t>22. Relationship to the Digital Farm Pilot</w:t>
      </w:r>
    </w:p>
    <w:p>
      <w:pPr>
        <w:jc w:val="center"/>
      </w:pPr>
      <w:r>
        <w:rPr>
          <w:rFonts w:ascii="Consolas" w:hAnsi="Consolas"/>
          <w:sz w:val="18"/>
        </w:rPr>
        <w:t>Digital Farm Pilot → Reference Architecture → Reusable Engineering Assets → General Digital CPS Framework → General Digital CPS Factory → Multiple Domain Profiles → Client Greenfield / Brownfield Engagements</w:t>
      </w:r>
    </w:p>
    <w:p>
      <w:r>
        <w:t>The Digital Farm is the first reference domain through which this architecture has been developed and tested conceptually. The pilot provides an evidence path for the broader General Digital CPS vision without defining its boundaries.</w:t>
      </w:r>
    </w:p>
    <w:p>
      <w:pPr>
        <w:pStyle w:val="Heading1"/>
      </w:pPr>
      <w:r>
        <w:t>23. Status</w:t>
      </w:r>
    </w:p>
    <w:p>
      <w:r>
        <w:t>Strategy status: refined and ready to guide the next HoldCo workspace organization. Immediate implementation priority: finish pilot Phases 10–12, then establish the generalized Framework and Factory structures in VS Code.</w:t>
      </w:r>
    </w:p>
    <w:p>
      <w:pPr>
        <w:jc w:val="center"/>
      </w:pPr>
      <w:r>
        <w:rPr>
          <w:i/>
          <w:sz w:val="18"/>
        </w:rPr>
        <w:t>FAEP / Bhadale IT — Updated Strategy — September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